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122A9">
      <w:pPr>
        <w:spacing w:line="360" w:lineRule="auto"/>
        <w:jc w:val="center"/>
        <w:rPr>
          <w:rFonts w:hint="eastAsia" w:ascii="宋体" w:hAnsi="宋体" w:cs="宋体"/>
          <w:b/>
          <w:bCs/>
          <w:color w:val="auto"/>
          <w:sz w:val="28"/>
          <w:szCs w:val="28"/>
          <w:highlight w:val="none"/>
          <w:lang w:val="en-US" w:eastAsia="zh-CN"/>
        </w:rPr>
      </w:pPr>
      <w:bookmarkStart w:id="0" w:name="_Hlk512515645"/>
      <w:r>
        <w:rPr>
          <w:rFonts w:hint="eastAsia" w:ascii="宋体" w:hAnsi="宋体" w:cs="宋体"/>
          <w:b/>
          <w:bCs/>
          <w:color w:val="auto"/>
          <w:sz w:val="28"/>
          <w:szCs w:val="28"/>
          <w:highlight w:val="none"/>
          <w:lang w:val="en-US" w:eastAsia="zh-CN"/>
        </w:rPr>
        <w:t>河北高速邯港二期项目管理有限公司建设期物业服务项目</w:t>
      </w:r>
    </w:p>
    <w:p w14:paraId="4FF46451">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招标公告</w:t>
      </w:r>
    </w:p>
    <w:p w14:paraId="7F017D22">
      <w:pPr>
        <w:pStyle w:val="16"/>
        <w:pageBreakBefore w:val="0"/>
        <w:kinsoku/>
        <w:wordWrap/>
        <w:overflowPunct/>
        <w:bidi w:val="0"/>
        <w:snapToGrid w:val="0"/>
        <w:spacing w:line="360" w:lineRule="auto"/>
        <w:ind w:firstLine="0" w:firstLineChars="0"/>
        <w:textAlignment w:val="auto"/>
        <w:rPr>
          <w:rFonts w:hint="eastAsia" w:ascii="宋体" w:hAnsi="宋体" w:eastAsia="宋体" w:cs="宋体"/>
          <w:color w:val="auto"/>
          <w:sz w:val="21"/>
          <w:szCs w:val="21"/>
          <w:highlight w:val="none"/>
        </w:rPr>
      </w:pPr>
      <w:bookmarkStart w:id="1" w:name="_Toc289864805"/>
      <w:bookmarkStart w:id="2" w:name="_Toc289864617"/>
      <w:bookmarkStart w:id="3" w:name="_Toc514238193"/>
      <w:bookmarkStart w:id="4" w:name="_Toc289866005"/>
      <w:bookmarkStart w:id="5" w:name="_Toc505336212"/>
      <w:bookmarkStart w:id="6" w:name="_Toc505336113"/>
      <w:r>
        <w:rPr>
          <w:rFonts w:hint="eastAsia" w:ascii="宋体" w:hAnsi="宋体" w:eastAsia="宋体" w:cs="宋体"/>
          <w:color w:val="auto"/>
          <w:sz w:val="21"/>
          <w:szCs w:val="21"/>
          <w:highlight w:val="none"/>
        </w:rPr>
        <w:t>1.招标条件</w:t>
      </w:r>
      <w:bookmarkEnd w:id="1"/>
      <w:bookmarkEnd w:id="2"/>
      <w:bookmarkEnd w:id="3"/>
      <w:bookmarkEnd w:id="4"/>
    </w:p>
    <w:p w14:paraId="58A094E3">
      <w:pPr>
        <w:pageBreakBefore w:val="0"/>
        <w:kinsoku/>
        <w:wordWrap/>
        <w:overflowPunct/>
        <w:bidi w:val="0"/>
        <w:snapToGrid w:val="0"/>
        <w:spacing w:line="360" w:lineRule="auto"/>
        <w:ind w:firstLine="420" w:firstLineChars="20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本招标项目</w:t>
      </w:r>
      <w:r>
        <w:rPr>
          <w:rFonts w:hint="eastAsia" w:ascii="宋体" w:hAnsi="宋体" w:eastAsia="宋体" w:cs="宋体"/>
          <w:color w:val="auto"/>
          <w:sz w:val="21"/>
          <w:szCs w:val="21"/>
          <w:highlight w:val="none"/>
          <w:u w:val="none"/>
        </w:rPr>
        <w:t>河北高速邯港二期项目管理有限公司建设期物业服务项目</w:t>
      </w:r>
      <w:r>
        <w:rPr>
          <w:rFonts w:hint="eastAsia" w:ascii="宋体" w:hAnsi="宋体" w:eastAsia="宋体" w:cs="宋体"/>
          <w:color w:val="auto"/>
          <w:sz w:val="21"/>
          <w:szCs w:val="21"/>
          <w:highlight w:val="none"/>
        </w:rPr>
        <w:t>已列入河北高速邯港二期项目管理有限公司2025年度预算，项目业主单位为河北高速邯港二期项目管理有限公司，建设资金来自资本金和国内商业贷款，出资比例为20%资本金+80%国内商业银行贷款，招标人为河北高速邯港二期项目管理有限公司，项目已具备招标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现对本项目进行公开招标。本次招标采用资格后审方式</w:t>
      </w:r>
      <w:r>
        <w:rPr>
          <w:rFonts w:hint="eastAsia" w:ascii="宋体" w:hAnsi="宋体" w:eastAsia="宋体" w:cs="宋体"/>
          <w:color w:val="auto"/>
          <w:sz w:val="21"/>
          <w:szCs w:val="21"/>
          <w:highlight w:val="none"/>
          <w:lang w:val="en-US" w:eastAsia="zh-CN"/>
        </w:rPr>
        <w:t>单</w:t>
      </w:r>
      <w:r>
        <w:rPr>
          <w:rFonts w:hint="eastAsia" w:ascii="宋体" w:hAnsi="宋体" w:eastAsia="宋体" w:cs="宋体"/>
          <w:color w:val="auto"/>
          <w:sz w:val="21"/>
          <w:szCs w:val="21"/>
          <w:highlight w:val="none"/>
        </w:rPr>
        <w:t>信封形式，评标办法采用综合评估</w:t>
      </w:r>
      <w:r>
        <w:rPr>
          <w:rFonts w:hint="eastAsia" w:ascii="宋体" w:hAnsi="宋体" w:cs="宋体"/>
          <w:color w:val="auto"/>
          <w:sz w:val="21"/>
          <w:szCs w:val="21"/>
          <w:highlight w:val="none"/>
          <w:lang w:val="en-US" w:eastAsia="zh-CN"/>
        </w:rPr>
        <w:t>法</w:t>
      </w:r>
      <w:r>
        <w:rPr>
          <w:rFonts w:hint="eastAsia" w:ascii="宋体" w:hAnsi="宋体" w:eastAsia="宋体" w:cs="宋体"/>
          <w:color w:val="auto"/>
          <w:sz w:val="21"/>
          <w:szCs w:val="21"/>
          <w:highlight w:val="none"/>
        </w:rPr>
        <w:t>。</w:t>
      </w:r>
    </w:p>
    <w:p w14:paraId="1C0C748C">
      <w:pPr>
        <w:pStyle w:val="18"/>
        <w:pageBreakBefore w:val="0"/>
        <w:kinsoku/>
        <w:wordWrap/>
        <w:overflowPunct/>
        <w:bidi w:val="0"/>
        <w:snapToGrid w:val="0"/>
        <w:spacing w:line="360" w:lineRule="auto"/>
        <w:ind w:firstLine="0" w:firstLineChars="0"/>
        <w:textAlignment w:val="auto"/>
        <w:rPr>
          <w:rFonts w:hint="eastAsia" w:ascii="宋体" w:hAnsi="宋体" w:eastAsia="宋体" w:cs="宋体"/>
          <w:color w:val="auto"/>
          <w:sz w:val="21"/>
          <w:szCs w:val="21"/>
          <w:highlight w:val="none"/>
        </w:rPr>
      </w:pPr>
      <w:bookmarkStart w:id="7" w:name="_Toc289864806"/>
      <w:bookmarkStart w:id="8" w:name="_Toc289866006"/>
      <w:bookmarkStart w:id="9" w:name="_Toc289864618"/>
      <w:bookmarkStart w:id="10" w:name="_Toc514238194"/>
      <w:r>
        <w:rPr>
          <w:rFonts w:hint="eastAsia" w:ascii="宋体" w:hAnsi="宋体" w:eastAsia="宋体" w:cs="宋体"/>
          <w:color w:val="auto"/>
          <w:sz w:val="21"/>
          <w:szCs w:val="21"/>
          <w:highlight w:val="none"/>
        </w:rPr>
        <w:t>2.</w:t>
      </w:r>
      <w:bookmarkStart w:id="11" w:name="_Hlk89162176"/>
      <w:r>
        <w:rPr>
          <w:rFonts w:hint="eastAsia" w:ascii="宋体" w:hAnsi="宋体" w:eastAsia="宋体" w:cs="宋体"/>
          <w:color w:val="auto"/>
          <w:sz w:val="21"/>
          <w:szCs w:val="21"/>
          <w:highlight w:val="none"/>
        </w:rPr>
        <w:t>项目概况与招标范围</w:t>
      </w:r>
      <w:bookmarkEnd w:id="7"/>
      <w:bookmarkEnd w:id="8"/>
      <w:bookmarkEnd w:id="9"/>
      <w:bookmarkEnd w:id="10"/>
      <w:bookmarkEnd w:id="11"/>
    </w:p>
    <w:p w14:paraId="6B9C8715">
      <w:pPr>
        <w:pStyle w:val="21"/>
        <w:pageBreakBefore w:val="0"/>
        <w:kinsoku/>
        <w:wordWrap/>
        <w:overflowPunct/>
        <w:bidi w:val="0"/>
        <w:snapToGrid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bookmarkStart w:id="12" w:name="_Hlk93740499"/>
      <w:r>
        <w:rPr>
          <w:rFonts w:hint="eastAsia" w:ascii="宋体" w:hAnsi="宋体" w:eastAsia="宋体" w:cs="宋体"/>
          <w:color w:val="auto"/>
          <w:sz w:val="21"/>
          <w:szCs w:val="21"/>
          <w:highlight w:val="none"/>
        </w:rPr>
        <w:t>项目概况</w:t>
      </w:r>
      <w:bookmarkEnd w:id="12"/>
      <w:r>
        <w:rPr>
          <w:rFonts w:hint="eastAsia" w:ascii="宋体" w:hAnsi="宋体" w:eastAsia="宋体" w:cs="宋体"/>
          <w:color w:val="auto"/>
          <w:sz w:val="21"/>
          <w:szCs w:val="21"/>
          <w:highlight w:val="none"/>
        </w:rPr>
        <w:t>：</w:t>
      </w:r>
    </w:p>
    <w:p w14:paraId="1069E3A2">
      <w:pPr>
        <w:pageBreakBefore w:val="0"/>
        <w:kinsoku/>
        <w:wordWrap/>
        <w:overflowPunct/>
        <w:autoSpaceDE w:val="0"/>
        <w:autoSpaceDN w:val="0"/>
        <w:bidi w:val="0"/>
        <w:adjustRightInd w:val="0"/>
        <w:snapToGrid w:val="0"/>
        <w:spacing w:line="360" w:lineRule="auto"/>
        <w:ind w:firstLine="420" w:firstLineChars="200"/>
        <w:textAlignment w:val="auto"/>
        <w:rPr>
          <w:rFonts w:hint="eastAsia" w:ascii="宋体" w:hAnsi="宋体" w:eastAsia="宋体" w:cs="宋体"/>
          <w:bCs/>
          <w:color w:val="auto"/>
          <w:kern w:val="0"/>
          <w:sz w:val="21"/>
          <w:szCs w:val="21"/>
          <w:highlight w:val="none"/>
          <w:lang w:eastAsia="zh-CN"/>
        </w:rPr>
      </w:pPr>
      <w:bookmarkStart w:id="13" w:name="_Toc289866007"/>
      <w:bookmarkStart w:id="14" w:name="_Toc289864619"/>
      <w:bookmarkStart w:id="15" w:name="_Toc514238195"/>
      <w:bookmarkStart w:id="16" w:name="_Toc289864807"/>
      <w:r>
        <w:rPr>
          <w:rFonts w:hint="eastAsia" w:ascii="宋体" w:hAnsi="宋体" w:eastAsia="宋体" w:cs="宋体"/>
          <w:bCs/>
          <w:color w:val="auto"/>
          <w:kern w:val="0"/>
          <w:sz w:val="21"/>
          <w:szCs w:val="21"/>
          <w:highlight w:val="none"/>
        </w:rPr>
        <w:t>为进一步提升邯港二期公司机关总部形象，提高物业服务水平，降低管理成本，根据工作安排，现需开展河北高速邯港二期项目管理有限公司建设期物业服务招标采购工作</w:t>
      </w:r>
      <w:r>
        <w:rPr>
          <w:rFonts w:hint="eastAsia" w:ascii="宋体" w:hAnsi="宋体" w:cs="宋体"/>
          <w:bCs/>
          <w:color w:val="auto"/>
          <w:kern w:val="0"/>
          <w:sz w:val="21"/>
          <w:szCs w:val="21"/>
          <w:highlight w:val="none"/>
          <w:lang w:eastAsia="zh-CN"/>
        </w:rPr>
        <w:t>。</w:t>
      </w:r>
    </w:p>
    <w:p w14:paraId="45852314">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2.1.1</w:t>
      </w:r>
      <w:r>
        <w:rPr>
          <w:rFonts w:hint="eastAsia" w:ascii="宋体" w:hAnsi="宋体" w:eastAsia="宋体" w:cs="宋体"/>
          <w:bCs/>
          <w:color w:val="auto"/>
          <w:kern w:val="0"/>
          <w:sz w:val="21"/>
          <w:szCs w:val="21"/>
          <w:highlight w:val="none"/>
        </w:rPr>
        <w:t>项目地点：沧州市海兴县苏基镇河北高速邯港二期项目管理有限公司机关总部所在院区。</w:t>
      </w:r>
    </w:p>
    <w:p w14:paraId="2A204DCE">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2.1.2</w:t>
      </w:r>
      <w:r>
        <w:rPr>
          <w:rFonts w:hint="eastAsia" w:ascii="宋体" w:hAnsi="宋体" w:eastAsia="宋体" w:cs="宋体"/>
          <w:bCs/>
          <w:color w:val="auto"/>
          <w:kern w:val="0"/>
          <w:sz w:val="21"/>
          <w:szCs w:val="21"/>
          <w:highlight w:val="none"/>
        </w:rPr>
        <w:t>服务范围：邯港二期公司机关总部大楼、院区等公用部分及其附属设施。占地面积约为6667㎡，综办楼建筑面积2338.56㎡，食堂261.35㎡。</w:t>
      </w:r>
    </w:p>
    <w:p w14:paraId="7C3DEE7D">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服务内容：</w:t>
      </w:r>
    </w:p>
    <w:p w14:paraId="73EF9079">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包括但不限于以下内容：</w:t>
      </w:r>
    </w:p>
    <w:p w14:paraId="09FEBE59">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保洁服务：各楼层公共区域、指定办公室、会议室卫生保洁；楼内地毯、布艺沙发及窗帘的熏蒸、清洗；石材地面结晶清理及日常维护；楼内绿植盆景的摆放、养护；院内卫生保洁；日常生活垃圾的清理等。</w:t>
      </w:r>
    </w:p>
    <w:p w14:paraId="141DB8B5">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（2）安保服务：秩序维护；安全管理；安防监控设施巡检；节假日、重大活动保障；防疫防护；报纸刊物的收发送达等。</w:t>
      </w:r>
    </w:p>
    <w:p w14:paraId="186752D2">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（3）职工用餐服务：职工就餐质量保障；食堂卫生保洁；食品卫生保障等。</w:t>
      </w:r>
    </w:p>
    <w:p w14:paraId="2436EB8E">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（4）年度定制化物业管理服务制度的优化及修订；物业服务档案的编制及管理；食堂管理制度的优化及修订。</w:t>
      </w:r>
    </w:p>
    <w:p w14:paraId="1A7F1C3E">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 w:val="21"/>
          <w:szCs w:val="21"/>
          <w:highlight w:val="none"/>
          <w:lang w:val="en-US" w:eastAsia="zh-CN"/>
        </w:rPr>
        <w:t>2.1.4</w:t>
      </w:r>
      <w:r>
        <w:rPr>
          <w:rFonts w:hint="eastAsia" w:ascii="宋体" w:hAnsi="宋体" w:eastAsia="宋体" w:cs="宋体"/>
          <w:bCs/>
          <w:color w:val="auto"/>
          <w:kern w:val="0"/>
          <w:sz w:val="21"/>
          <w:szCs w:val="21"/>
          <w:highlight w:val="none"/>
          <w:lang w:eastAsia="zh-CN"/>
        </w:rPr>
        <w:t>服务期限：自合同签订之日起两年</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计划开始时间：2026年1月1日</w:t>
      </w:r>
      <w:r>
        <w:rPr>
          <w:rFonts w:hint="eastAsia" w:ascii="宋体" w:hAnsi="宋体" w:cs="宋体"/>
          <w:bCs/>
          <w:color w:val="auto"/>
          <w:kern w:val="0"/>
          <w:sz w:val="21"/>
          <w:szCs w:val="21"/>
          <w:highlight w:val="none"/>
          <w:lang w:eastAsia="zh-CN"/>
        </w:rPr>
        <w:t>。</w:t>
      </w:r>
    </w:p>
    <w:p w14:paraId="75960589">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 w:val="21"/>
          <w:szCs w:val="21"/>
          <w:highlight w:val="none"/>
          <w:lang w:val="en-US" w:eastAsia="zh-CN"/>
        </w:rPr>
        <w:t>2.1.5</w:t>
      </w:r>
      <w:r>
        <w:rPr>
          <w:rFonts w:hint="eastAsia" w:ascii="宋体" w:hAnsi="宋体" w:eastAsia="宋体" w:cs="宋体"/>
          <w:bCs/>
          <w:color w:val="auto"/>
          <w:kern w:val="0"/>
          <w:sz w:val="21"/>
          <w:szCs w:val="21"/>
          <w:highlight w:val="none"/>
          <w:lang w:eastAsia="zh-CN"/>
        </w:rPr>
        <w:t>服务</w:t>
      </w:r>
      <w:r>
        <w:rPr>
          <w:rFonts w:hint="eastAsia" w:ascii="宋体" w:hAnsi="宋体" w:cs="宋体"/>
          <w:bCs/>
          <w:color w:val="auto"/>
          <w:kern w:val="0"/>
          <w:sz w:val="21"/>
          <w:szCs w:val="21"/>
          <w:highlight w:val="none"/>
          <w:lang w:val="en-US" w:eastAsia="zh-CN"/>
        </w:rPr>
        <w:t>质量</w:t>
      </w:r>
      <w:r>
        <w:rPr>
          <w:rFonts w:hint="eastAsia" w:ascii="宋体" w:hAnsi="宋体" w:eastAsia="宋体" w:cs="宋体"/>
          <w:bCs/>
          <w:color w:val="auto"/>
          <w:kern w:val="0"/>
          <w:sz w:val="21"/>
          <w:szCs w:val="21"/>
          <w:highlight w:val="none"/>
          <w:lang w:eastAsia="zh-CN"/>
        </w:rPr>
        <w:t>：合格，满足</w:t>
      </w:r>
      <w:r>
        <w:rPr>
          <w:rFonts w:hint="eastAsia" w:ascii="宋体" w:hAnsi="宋体" w:cs="宋体"/>
          <w:bCs/>
          <w:color w:val="auto"/>
          <w:kern w:val="0"/>
          <w:sz w:val="21"/>
          <w:szCs w:val="21"/>
          <w:highlight w:val="none"/>
          <w:lang w:val="en-US" w:eastAsia="zh-CN"/>
        </w:rPr>
        <w:t>发包人</w:t>
      </w:r>
      <w:r>
        <w:rPr>
          <w:rFonts w:hint="eastAsia" w:ascii="宋体" w:hAnsi="宋体" w:eastAsia="宋体" w:cs="宋体"/>
          <w:bCs/>
          <w:color w:val="auto"/>
          <w:kern w:val="0"/>
          <w:sz w:val="21"/>
          <w:szCs w:val="21"/>
          <w:highlight w:val="none"/>
          <w:lang w:eastAsia="zh-CN"/>
        </w:rPr>
        <w:t>要求。</w:t>
      </w:r>
    </w:p>
    <w:p w14:paraId="33CE4E81">
      <w:pPr>
        <w:pageBreakBefore w:val="0"/>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bCs/>
          <w:color w:val="auto"/>
          <w:kern w:val="0"/>
          <w:sz w:val="21"/>
          <w:szCs w:val="21"/>
          <w:highlight w:val="none"/>
        </w:rPr>
      </w:pPr>
      <w:bookmarkStart w:id="17" w:name="_Toc457162319"/>
      <w:bookmarkStart w:id="18" w:name="_Toc424504185"/>
      <w:bookmarkStart w:id="19" w:name="_Toc426613964"/>
      <w:r>
        <w:rPr>
          <w:rFonts w:hint="eastAsia" w:ascii="宋体" w:hAnsi="宋体" w:eastAsia="宋体" w:cs="宋体"/>
          <w:bCs/>
          <w:color w:val="auto"/>
          <w:kern w:val="0"/>
          <w:sz w:val="21"/>
          <w:szCs w:val="21"/>
          <w:highlight w:val="none"/>
        </w:rPr>
        <w:t>2.2招标范围及标段划分</w:t>
      </w:r>
      <w:bookmarkEnd w:id="17"/>
    </w:p>
    <w:bookmarkEnd w:id="18"/>
    <w:bookmarkEnd w:id="19"/>
    <w:p w14:paraId="50FDA8AE">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eastAsia="宋体" w:cs="宋体"/>
          <w:bCs/>
          <w:color w:val="auto"/>
          <w:kern w:val="0"/>
          <w:sz w:val="21"/>
          <w:szCs w:val="21"/>
          <w:highlight w:val="none"/>
        </w:rPr>
      </w:pPr>
      <w:bookmarkStart w:id="20" w:name="_Hlk167194197"/>
      <w:r>
        <w:rPr>
          <w:rFonts w:hint="eastAsia" w:ascii="宋体" w:hAnsi="宋体" w:eastAsia="宋体" w:cs="宋体"/>
          <w:bCs/>
          <w:color w:val="auto"/>
          <w:kern w:val="0"/>
          <w:sz w:val="21"/>
          <w:szCs w:val="21"/>
          <w:highlight w:val="none"/>
        </w:rPr>
        <w:t>本次招标范围为河北高速邯港二期项目管理有限公司建设期物业服务</w:t>
      </w:r>
      <w:bookmarkEnd w:id="20"/>
      <w:r>
        <w:rPr>
          <w:rFonts w:hint="eastAsia" w:ascii="宋体" w:hAnsi="宋体" w:eastAsia="宋体" w:cs="宋体"/>
          <w:bCs/>
          <w:color w:val="auto"/>
          <w:kern w:val="0"/>
          <w:sz w:val="21"/>
          <w:szCs w:val="21"/>
          <w:highlight w:val="none"/>
        </w:rPr>
        <w:t>，划分为1个标段。</w:t>
      </w:r>
    </w:p>
    <w:p w14:paraId="3274788D">
      <w:pPr>
        <w:pStyle w:val="22"/>
        <w:pageBreakBefore w:val="0"/>
        <w:kinsoku/>
        <w:wordWrap/>
        <w:overflowPunct/>
        <w:bidi w:val="0"/>
        <w:snapToGrid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3.投标人资格要求</w:t>
      </w:r>
      <w:bookmarkEnd w:id="13"/>
      <w:bookmarkEnd w:id="14"/>
      <w:bookmarkEnd w:id="15"/>
      <w:bookmarkEnd w:id="16"/>
    </w:p>
    <w:p w14:paraId="459FF275">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3.1本次招标对投标人的资格要求如下：</w:t>
      </w:r>
    </w:p>
    <w:p w14:paraId="5EC3FB89">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3.1.1资质要求：详见附件1附录1资格审查条件（资质最低要求）。</w:t>
      </w:r>
    </w:p>
    <w:p w14:paraId="4E05ECD7">
      <w:pPr>
        <w:pStyle w:val="8"/>
        <w:ind w:firstLine="420" w:firstLineChars="200"/>
        <w:rPr>
          <w:rFonts w:hint="eastAsia" w:ascii="宋体" w:hAnsi="宋体" w:cs="宋体"/>
          <w:bCs/>
          <w:color w:val="auto"/>
          <w:kern w:val="2"/>
          <w:sz w:val="21"/>
          <w:szCs w:val="21"/>
          <w:highlight w:val="none"/>
        </w:rPr>
      </w:pPr>
      <w:r>
        <w:rPr>
          <w:rFonts w:hint="eastAsia" w:ascii="宋体" w:hAnsi="宋体" w:cs="宋体"/>
          <w:bCs/>
          <w:color w:val="auto"/>
          <w:kern w:val="2"/>
          <w:sz w:val="21"/>
          <w:szCs w:val="21"/>
          <w:highlight w:val="none"/>
        </w:rPr>
        <w:t>3.1.</w:t>
      </w:r>
      <w:r>
        <w:rPr>
          <w:rFonts w:hint="eastAsia" w:ascii="宋体" w:hAnsi="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lang w:val="en-US" w:eastAsia="zh-CN"/>
        </w:rPr>
        <w:t>业绩</w:t>
      </w:r>
      <w:r>
        <w:rPr>
          <w:rFonts w:hint="eastAsia" w:ascii="宋体" w:hAnsi="宋体" w:cs="宋体"/>
          <w:bCs/>
          <w:color w:val="auto"/>
          <w:kern w:val="2"/>
          <w:sz w:val="21"/>
          <w:szCs w:val="21"/>
          <w:highlight w:val="none"/>
        </w:rPr>
        <w:t>要求：详见附件1附录</w:t>
      </w:r>
      <w:r>
        <w:rPr>
          <w:rFonts w:hint="eastAsia" w:ascii="宋体" w:hAnsi="宋体" w:cs="宋体"/>
          <w:bCs/>
          <w:color w:val="auto"/>
          <w:kern w:val="2"/>
          <w:sz w:val="21"/>
          <w:szCs w:val="21"/>
          <w:highlight w:val="none"/>
          <w:lang w:val="en-US" w:eastAsia="zh-CN"/>
        </w:rPr>
        <w:t>2</w:t>
      </w:r>
      <w:r>
        <w:rPr>
          <w:rFonts w:hint="eastAsia" w:ascii="宋体" w:hAnsi="宋体" w:cs="宋体"/>
          <w:bCs/>
          <w:color w:val="auto"/>
          <w:kern w:val="2"/>
          <w:sz w:val="21"/>
          <w:szCs w:val="21"/>
          <w:highlight w:val="none"/>
        </w:rPr>
        <w:t>资格审查条件（</w:t>
      </w:r>
      <w:r>
        <w:rPr>
          <w:rFonts w:hint="eastAsia" w:ascii="宋体" w:hAnsi="宋体" w:eastAsia="宋体" w:cs="宋体"/>
          <w:bCs/>
          <w:color w:val="auto"/>
          <w:kern w:val="2"/>
          <w:sz w:val="21"/>
          <w:szCs w:val="21"/>
          <w:highlight w:val="none"/>
          <w:lang w:val="en-US" w:eastAsia="zh-CN"/>
        </w:rPr>
        <w:t>业绩</w:t>
      </w:r>
      <w:r>
        <w:rPr>
          <w:rFonts w:hint="eastAsia" w:ascii="宋体" w:hAnsi="宋体" w:cs="宋体"/>
          <w:bCs/>
          <w:color w:val="auto"/>
          <w:kern w:val="2"/>
          <w:sz w:val="21"/>
          <w:szCs w:val="21"/>
          <w:highlight w:val="none"/>
        </w:rPr>
        <w:t>最低要求）。</w:t>
      </w:r>
    </w:p>
    <w:p w14:paraId="5183EC9A">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信誉要求：详见附件1附录</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资格审查条件（信誉最低要求）。</w:t>
      </w:r>
    </w:p>
    <w:p w14:paraId="1C1F2989">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其他要求：</w:t>
      </w:r>
    </w:p>
    <w:p w14:paraId="78E7923D">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（1）与招标人存在利害关系可能影响招标公正性的单位，不得参加投标。单位负责人为同一人或者存在控股、管理关系的不同单位，不得同时参加投标，否则，相关投标均无效。</w:t>
      </w:r>
    </w:p>
    <w:p w14:paraId="6A3930E0">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）在国家企业信用信息公示系统（</w:t>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HYPERLINK "http://www.gsxt.gov.cn/"</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http</w:t>
      </w:r>
      <w:r>
        <w:rPr>
          <w:rFonts w:hint="eastAsia" w:ascii="宋体" w:hAnsi="宋体" w:eastAsia="宋体" w:cs="宋体"/>
          <w:bCs/>
          <w:color w:val="auto"/>
          <w:sz w:val="21"/>
          <w:szCs w:val="21"/>
          <w:highlight w:val="none"/>
          <w:lang w:val="en-US" w:eastAsia="zh-CN"/>
        </w:rPr>
        <w:t>s</w:t>
      </w:r>
      <w:r>
        <w:rPr>
          <w:rFonts w:hint="eastAsia" w:ascii="宋体" w:hAnsi="宋体" w:eastAsia="宋体" w:cs="宋体"/>
          <w:bCs/>
          <w:color w:val="auto"/>
          <w:sz w:val="21"/>
          <w:szCs w:val="21"/>
          <w:highlight w:val="none"/>
        </w:rPr>
        <w:t>://www.gsxt.gov.cn/</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t>）中被列入严重违法失信名单（黑名单）信息（不含分公司）、在“信用中国”网站（</w:t>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HYPERLINK "http://www.creditchina.gov.cn/"</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http</w:t>
      </w:r>
      <w:r>
        <w:rPr>
          <w:rFonts w:hint="eastAsia" w:ascii="宋体" w:hAnsi="宋体" w:eastAsia="宋体" w:cs="宋体"/>
          <w:bCs/>
          <w:color w:val="auto"/>
          <w:sz w:val="21"/>
          <w:szCs w:val="21"/>
          <w:highlight w:val="none"/>
          <w:lang w:val="en-US" w:eastAsia="zh-CN"/>
        </w:rPr>
        <w:t>s</w:t>
      </w:r>
      <w:r>
        <w:rPr>
          <w:rFonts w:hint="eastAsia" w:ascii="宋体" w:hAnsi="宋体" w:eastAsia="宋体" w:cs="宋体"/>
          <w:bCs/>
          <w:color w:val="auto"/>
          <w:sz w:val="21"/>
          <w:szCs w:val="21"/>
          <w:highlight w:val="none"/>
        </w:rPr>
        <w:t>://www.creditchina.gov.cn/</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t>）中被列入失信被执行人、</w:t>
      </w:r>
      <w:r>
        <w:rPr>
          <w:rFonts w:hint="eastAsia" w:ascii="宋体" w:hAnsi="宋体" w:eastAsia="宋体" w:cs="宋体"/>
          <w:bCs/>
          <w:color w:val="auto"/>
          <w:sz w:val="21"/>
          <w:szCs w:val="21"/>
          <w:highlight w:val="none"/>
          <w:lang w:eastAsia="zh-CN"/>
        </w:rPr>
        <w:t>经营（活动）异常名录</w:t>
      </w:r>
      <w:r>
        <w:rPr>
          <w:rFonts w:hint="eastAsia" w:ascii="宋体" w:hAnsi="宋体" w:eastAsia="宋体" w:cs="宋体"/>
          <w:bCs/>
          <w:color w:val="auto"/>
          <w:sz w:val="21"/>
          <w:szCs w:val="21"/>
          <w:highlight w:val="none"/>
        </w:rPr>
        <w:t>、</w:t>
      </w:r>
      <w:r>
        <w:rPr>
          <w:rFonts w:hint="eastAsia" w:ascii="宋体" w:hAnsi="宋体" w:eastAsia="宋体" w:cs="宋体"/>
          <w:color w:val="auto"/>
          <w:kern w:val="0"/>
          <w:sz w:val="21"/>
          <w:szCs w:val="21"/>
          <w:highlight w:val="none"/>
        </w:rPr>
        <w:t>重大税收违法失信主体</w:t>
      </w:r>
      <w:r>
        <w:rPr>
          <w:rFonts w:hint="eastAsia" w:ascii="宋体" w:hAnsi="宋体" w:eastAsia="宋体" w:cs="宋体"/>
          <w:bCs/>
          <w:color w:val="auto"/>
          <w:sz w:val="21"/>
          <w:szCs w:val="21"/>
          <w:highlight w:val="none"/>
        </w:rPr>
        <w:t>和</w:t>
      </w:r>
      <w:r>
        <w:rPr>
          <w:rFonts w:hint="eastAsia" w:ascii="宋体" w:hAnsi="宋体" w:eastAsia="宋体" w:cs="宋体"/>
          <w:color w:val="auto"/>
          <w:kern w:val="0"/>
          <w:sz w:val="21"/>
          <w:szCs w:val="21"/>
          <w:highlight w:val="none"/>
        </w:rPr>
        <w:t>政府采购严重违法失信行为记录名单</w:t>
      </w:r>
      <w:r>
        <w:rPr>
          <w:rFonts w:hint="eastAsia" w:ascii="宋体" w:hAnsi="宋体" w:eastAsia="宋体" w:cs="宋体"/>
          <w:bCs/>
          <w:color w:val="auto"/>
          <w:sz w:val="21"/>
          <w:szCs w:val="21"/>
          <w:highlight w:val="none"/>
        </w:rPr>
        <w:t>（均不含分公司）的投标人，不得参加投标。</w:t>
      </w:r>
    </w:p>
    <w:p w14:paraId="3675593E">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3.2本次招标不接受联合体投标。</w:t>
      </w:r>
    </w:p>
    <w:p w14:paraId="04D9797A">
      <w:pPr>
        <w:pStyle w:val="24"/>
        <w:pageBreakBefore w:val="0"/>
        <w:kinsoku/>
        <w:wordWrap/>
        <w:overflowPunct/>
        <w:bidi w:val="0"/>
        <w:snapToGrid w:val="0"/>
        <w:spacing w:line="360" w:lineRule="auto"/>
        <w:ind w:firstLine="0" w:firstLineChars="0"/>
        <w:textAlignment w:val="auto"/>
        <w:rPr>
          <w:rFonts w:hint="eastAsia" w:ascii="宋体" w:hAnsi="宋体" w:eastAsia="宋体" w:cs="宋体"/>
          <w:color w:val="auto"/>
          <w:sz w:val="21"/>
          <w:szCs w:val="21"/>
          <w:highlight w:val="none"/>
        </w:rPr>
      </w:pPr>
      <w:bookmarkStart w:id="21" w:name="_Toc289866008"/>
      <w:bookmarkStart w:id="22" w:name="_Toc289864620"/>
      <w:bookmarkStart w:id="23" w:name="_Toc289864808"/>
      <w:bookmarkStart w:id="24" w:name="_Toc514238196"/>
      <w:r>
        <w:rPr>
          <w:rFonts w:hint="eastAsia" w:ascii="宋体" w:hAnsi="宋体" w:eastAsia="宋体" w:cs="宋体"/>
          <w:color w:val="auto"/>
          <w:sz w:val="21"/>
          <w:szCs w:val="21"/>
          <w:highlight w:val="none"/>
        </w:rPr>
        <w:t>4.招标文件的获取</w:t>
      </w:r>
      <w:bookmarkEnd w:id="21"/>
      <w:bookmarkEnd w:id="22"/>
      <w:bookmarkEnd w:id="23"/>
      <w:bookmarkEnd w:id="24"/>
    </w:p>
    <w:p w14:paraId="27CA5344">
      <w:pPr>
        <w:pageBreakBefore w:val="0"/>
        <w:kinsoku/>
        <w:wordWrap/>
        <w:overflowPunct/>
        <w:bidi w:val="0"/>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25" w:name="_Toc289864809"/>
      <w:bookmarkStart w:id="26" w:name="_Toc289864621"/>
      <w:bookmarkStart w:id="27" w:name="_Toc289866009"/>
      <w:bookmarkStart w:id="28" w:name="_Toc514238197"/>
      <w:r>
        <w:rPr>
          <w:rFonts w:hint="eastAsia" w:ascii="宋体" w:hAnsi="宋体" w:eastAsia="宋体" w:cs="宋体"/>
          <w:color w:val="auto"/>
          <w:sz w:val="21"/>
          <w:szCs w:val="21"/>
          <w:highlight w:val="none"/>
        </w:rPr>
        <w:t>凡有意参加投标者，请于</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分（北京时间，下同）至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18</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17</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分，登录</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河北高速集团招采平台（https://zc.hbgs.cloud/）</w:t>
      </w:r>
      <w:r>
        <w:rPr>
          <w:rFonts w:hint="eastAsia" w:ascii="宋体" w:hAnsi="宋体" w:eastAsia="宋体" w:cs="宋体"/>
          <w:color w:val="auto"/>
          <w:sz w:val="21"/>
          <w:szCs w:val="21"/>
          <w:highlight w:val="none"/>
        </w:rPr>
        <w:t>”下载电子招标文件。</w:t>
      </w:r>
    </w:p>
    <w:p w14:paraId="7E40F0D3">
      <w:pPr>
        <w:pStyle w:val="26"/>
        <w:pageBreakBefore w:val="0"/>
        <w:kinsoku/>
        <w:wordWrap/>
        <w:overflowPunct/>
        <w:bidi w:val="0"/>
        <w:snapToGrid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5.投标文件的递交及相关事宜</w:t>
      </w:r>
      <w:bookmarkEnd w:id="25"/>
      <w:bookmarkEnd w:id="26"/>
      <w:bookmarkEnd w:id="27"/>
      <w:bookmarkEnd w:id="28"/>
    </w:p>
    <w:p w14:paraId="17AF34CA">
      <w:pPr>
        <w:pageBreakBefore w:val="0"/>
        <w:kinsoku/>
        <w:wordWrap/>
        <w:overflowPunct/>
        <w:bidi w:val="0"/>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29" w:name="_Toc289866010"/>
      <w:bookmarkStart w:id="30" w:name="_Toc514238198"/>
      <w:bookmarkStart w:id="31" w:name="_Toc289864622"/>
      <w:bookmarkStart w:id="32" w:name="_Toc289864810"/>
      <w:r>
        <w:rPr>
          <w:rFonts w:hint="eastAsia" w:ascii="宋体" w:hAnsi="宋体" w:eastAsia="宋体" w:cs="宋体"/>
          <w:color w:val="auto"/>
          <w:sz w:val="21"/>
          <w:szCs w:val="21"/>
          <w:highlight w:val="none"/>
        </w:rPr>
        <w:t>5.1投标文件递交的截止时间（投标截止时间，下同）为</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分，投标人应在投标截止时间前通过互联网使用CA数字证书登录“</w:t>
      </w:r>
      <w:r>
        <w:rPr>
          <w:rFonts w:hint="eastAsia" w:ascii="宋体" w:hAnsi="宋体" w:cs="宋体"/>
          <w:color w:val="auto"/>
          <w:sz w:val="21"/>
          <w:szCs w:val="21"/>
          <w:highlight w:val="none"/>
          <w:lang w:eastAsia="zh-CN"/>
        </w:rPr>
        <w:t>河北高速集团招采平台</w:t>
      </w:r>
      <w:r>
        <w:rPr>
          <w:rFonts w:hint="eastAsia" w:ascii="宋体" w:hAnsi="宋体" w:eastAsia="宋体" w:cs="宋体"/>
          <w:color w:val="auto"/>
          <w:sz w:val="21"/>
          <w:szCs w:val="21"/>
          <w:highlight w:val="none"/>
        </w:rPr>
        <w:t>”，将加密的投标文件上传递交成功，递交时间即为电子投标文件上传时间。本次招标采用电子招投标形式，招标人不再邀请投标人参加现场开标，投标人</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在开标时间</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登陆“</w:t>
      </w:r>
      <w:r>
        <w:rPr>
          <w:rFonts w:hint="eastAsia" w:ascii="宋体" w:hAnsi="宋体" w:cs="宋体"/>
          <w:color w:val="auto"/>
          <w:sz w:val="21"/>
          <w:szCs w:val="21"/>
          <w:highlight w:val="none"/>
          <w:lang w:eastAsia="zh-CN"/>
        </w:rPr>
        <w:t>河北高速集团招采平台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网上开标大厅</w:t>
      </w:r>
      <w:r>
        <w:rPr>
          <w:rFonts w:hint="eastAsia" w:ascii="宋体" w:hAnsi="宋体" w:eastAsia="宋体" w:cs="宋体"/>
          <w:color w:val="auto"/>
          <w:sz w:val="21"/>
          <w:szCs w:val="21"/>
          <w:highlight w:val="none"/>
        </w:rPr>
        <w:t>按时完成投标文件解密、确认工作，并可在开标直播大厅观看开标视频直播。</w:t>
      </w:r>
    </w:p>
    <w:p w14:paraId="1D8253C5">
      <w:pPr>
        <w:pageBreakBefore w:val="0"/>
        <w:kinsoku/>
        <w:wordWrap/>
        <w:overflowPunct/>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5.2逾期未在电子交易平台完成上传的、未按要求进行加密的投标文件，招标人将予以拒收。</w:t>
      </w:r>
    </w:p>
    <w:p w14:paraId="60198EA8">
      <w:pPr>
        <w:pStyle w:val="27"/>
        <w:pageBreakBefore w:val="0"/>
        <w:kinsoku/>
        <w:wordWrap/>
        <w:overflowPunct/>
        <w:bidi w:val="0"/>
        <w:snapToGrid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6.发布公告的媒介</w:t>
      </w:r>
      <w:bookmarkEnd w:id="29"/>
      <w:bookmarkEnd w:id="30"/>
      <w:bookmarkEnd w:id="31"/>
      <w:bookmarkEnd w:id="32"/>
    </w:p>
    <w:p w14:paraId="14BC0CAF">
      <w:pPr>
        <w:pStyle w:val="28"/>
        <w:pageBreakBefore w:val="0"/>
        <w:kinsoku/>
        <w:wordWrap/>
        <w:overflowPunct/>
        <w:bidi w:val="0"/>
        <w:snapToGrid w:val="0"/>
        <w:spacing w:line="360" w:lineRule="auto"/>
        <w:ind w:left="0" w:leftChars="0" w:firstLine="420" w:firstLineChars="200"/>
        <w:textAlignment w:val="auto"/>
        <w:outlineLvl w:val="9"/>
        <w:rPr>
          <w:rFonts w:hint="eastAsia" w:ascii="宋体" w:hAnsi="宋体" w:eastAsia="宋体" w:cs="宋体"/>
          <w:b w:val="0"/>
          <w:bCs w:val="0"/>
          <w:color w:val="auto"/>
          <w:sz w:val="21"/>
          <w:szCs w:val="21"/>
          <w:highlight w:val="none"/>
        </w:rPr>
      </w:pPr>
      <w:bookmarkStart w:id="33" w:name="_Toc514238199"/>
      <w:r>
        <w:rPr>
          <w:rFonts w:hint="eastAsia" w:ascii="宋体" w:hAnsi="宋体" w:eastAsia="宋体" w:cs="宋体"/>
          <w:b w:val="0"/>
          <w:bCs w:val="0"/>
          <w:color w:val="auto"/>
          <w:sz w:val="21"/>
          <w:szCs w:val="21"/>
          <w:highlight w:val="none"/>
        </w:rPr>
        <w:t>本次招标公告在河北高速邯港高速公路有限公司</w:t>
      </w:r>
      <w:r>
        <w:rPr>
          <w:rFonts w:hint="eastAsia" w:ascii="宋体" w:hAnsi="宋体" w:cs="宋体"/>
          <w:b w:val="0"/>
          <w:bCs w:val="0"/>
          <w:color w:val="auto"/>
          <w:sz w:val="21"/>
          <w:szCs w:val="21"/>
          <w:highlight w:val="none"/>
          <w:lang w:val="en-US" w:eastAsia="zh-CN"/>
        </w:rPr>
        <w:t>网站</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http://hg.hbgs.com.cn/</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河北高速集团招采平台（https://zc.hbgs.cloud/）</w:t>
      </w:r>
      <w:r>
        <w:rPr>
          <w:rFonts w:hint="eastAsia" w:ascii="宋体" w:hAnsi="宋体" w:eastAsia="宋体" w:cs="宋体"/>
          <w:b w:val="0"/>
          <w:bCs w:val="0"/>
          <w:color w:val="auto"/>
          <w:sz w:val="21"/>
          <w:szCs w:val="21"/>
          <w:highlight w:val="none"/>
        </w:rPr>
        <w:t>上发布。</w:t>
      </w:r>
    </w:p>
    <w:p w14:paraId="3C804B0C">
      <w:pPr>
        <w:pStyle w:val="28"/>
        <w:pageBreakBefore w:val="0"/>
        <w:kinsoku/>
        <w:wordWrap/>
        <w:overflowPunct/>
        <w:bidi w:val="0"/>
        <w:snapToGrid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7.联系方式</w:t>
      </w:r>
      <w:bookmarkEnd w:id="33"/>
    </w:p>
    <w:p w14:paraId="7263DF4C">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bookmarkStart w:id="34" w:name="_Hlk46478693"/>
      <w:bookmarkStart w:id="35" w:name="_Toc514238200"/>
      <w:r>
        <w:rPr>
          <w:rFonts w:hint="eastAsia" w:ascii="宋体" w:hAnsi="宋体" w:eastAsia="宋体" w:cs="宋体"/>
          <w:color w:val="auto"/>
          <w:sz w:val="21"/>
          <w:szCs w:val="21"/>
          <w:highlight w:val="none"/>
        </w:rPr>
        <w:t>招标人：</w:t>
      </w:r>
      <w:r>
        <w:rPr>
          <w:rFonts w:hint="eastAsia" w:ascii="宋体" w:hAnsi="宋体" w:cs="宋体"/>
          <w:color w:val="auto"/>
          <w:sz w:val="21"/>
          <w:szCs w:val="21"/>
          <w:highlight w:val="none"/>
          <w:lang w:eastAsia="zh-CN"/>
        </w:rPr>
        <w:t>河北高速邯港二期项目管理有限公司</w:t>
      </w:r>
    </w:p>
    <w:p w14:paraId="6D2ACCF4">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地址：河北省沧州市海兴县兴融街东16号</w:t>
      </w:r>
    </w:p>
    <w:p w14:paraId="3BA9CB1F">
      <w:pPr>
        <w:snapToGrid w:val="0"/>
        <w:spacing w:line="360" w:lineRule="auto"/>
        <w:ind w:firstLine="420" w:firstLineChars="200"/>
        <w:rPr>
          <w:rFonts w:hint="eastAsia" w:ascii="宋体" w:hAnsi="宋体" w:cs="宋体"/>
          <w:color w:val="auto"/>
          <w:sz w:val="24"/>
          <w:highlight w:val="none"/>
        </w:rPr>
      </w:pPr>
      <w:r>
        <w:rPr>
          <w:rFonts w:hint="eastAsia" w:ascii="宋体" w:hAnsi="宋体" w:eastAsia="宋体" w:cs="宋体"/>
          <w:color w:val="auto"/>
          <w:sz w:val="21"/>
          <w:szCs w:val="21"/>
          <w:highlight w:val="none"/>
        </w:rPr>
        <w:t>联系人：宋美俊</w:t>
      </w:r>
    </w:p>
    <w:p w14:paraId="0784CD22">
      <w:pPr>
        <w:snapToGrid w:val="0"/>
        <w:spacing w:line="360" w:lineRule="auto"/>
        <w:ind w:firstLine="420" w:firstLineChars="200"/>
        <w:rPr>
          <w:rFonts w:hint="eastAsia" w:ascii="宋体" w:hAnsi="宋体" w:cs="宋体"/>
          <w:color w:val="auto"/>
          <w:sz w:val="24"/>
          <w:highlight w:val="none"/>
        </w:rPr>
      </w:pPr>
      <w:r>
        <w:rPr>
          <w:rFonts w:hint="eastAsia" w:ascii="宋体" w:hAnsi="宋体" w:eastAsia="宋体" w:cs="宋体"/>
          <w:color w:val="auto"/>
          <w:sz w:val="21"/>
          <w:szCs w:val="21"/>
          <w:highlight w:val="none"/>
        </w:rPr>
        <w:t>电话：13582724457</w:t>
      </w:r>
    </w:p>
    <w:bookmarkEnd w:id="34"/>
    <w:p w14:paraId="2AF2DE99">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招标代理机构：河北高速集团工程咨询有限公司</w:t>
      </w:r>
    </w:p>
    <w:p w14:paraId="6C1839A6">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地址：石家庄高新区黄河大道136号石家庄科技中心2号楼22层2201室</w:t>
      </w:r>
    </w:p>
    <w:p w14:paraId="3A1348F3">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联系人：张德祥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、张光磊、张宁</w:t>
      </w:r>
    </w:p>
    <w:p w14:paraId="490B583B">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电话：13933000377、</w:t>
      </w:r>
      <w:r>
        <w:rPr>
          <w:rFonts w:hint="eastAsia" w:ascii="宋体" w:hAnsi="宋体" w:cs="宋体"/>
          <w:color w:val="auto"/>
          <w:sz w:val="21"/>
          <w:szCs w:val="21"/>
          <w:highlight w:val="none"/>
          <w:lang w:eastAsia="zh-CN"/>
        </w:rPr>
        <w:t>18032766101</w:t>
      </w:r>
    </w:p>
    <w:p w14:paraId="2E50FEB8">
      <w:pPr>
        <w:pStyle w:val="28"/>
        <w:pageBreakBefore w:val="0"/>
        <w:kinsoku/>
        <w:wordWrap/>
        <w:overflowPunct/>
        <w:bidi w:val="0"/>
        <w:snapToGrid w:val="0"/>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8.附件</w:t>
      </w:r>
      <w:bookmarkEnd w:id="35"/>
    </w:p>
    <w:p w14:paraId="3AA4F098">
      <w:pPr>
        <w:pageBreakBefore w:val="0"/>
        <w:kinsoku/>
        <w:wordWrap/>
        <w:overflowPunct/>
        <w:bidi w:val="0"/>
        <w:snapToGrid w:val="0"/>
        <w:spacing w:line="360" w:lineRule="auto"/>
        <w:ind w:firstLine="420" w:firstLineChars="200"/>
        <w:textAlignment w:val="auto"/>
        <w:rPr>
          <w:rFonts w:hint="eastAsia" w:ascii="宋体" w:hAnsi="宋体" w:eastAsia="宋体" w:cs="宋体"/>
          <w:color w:val="auto"/>
          <w:sz w:val="21"/>
          <w:szCs w:val="21"/>
          <w:highlight w:val="none"/>
        </w:rPr>
      </w:pPr>
      <w:bookmarkStart w:id="36" w:name="_Hlk43714340"/>
      <w:r>
        <w:rPr>
          <w:rFonts w:hint="eastAsia" w:ascii="宋体" w:hAnsi="宋体" w:eastAsia="宋体" w:cs="宋体"/>
          <w:color w:val="auto"/>
          <w:sz w:val="21"/>
          <w:szCs w:val="21"/>
          <w:highlight w:val="none"/>
        </w:rPr>
        <w:t>附件1：资格审查条件</w:t>
      </w:r>
    </w:p>
    <w:p w14:paraId="41692FAE">
      <w:pPr>
        <w:pageBreakBefore w:val="0"/>
        <w:kinsoku/>
        <w:wordWrap/>
        <w:overflowPunct/>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附件2：评标办法</w:t>
      </w:r>
      <w:bookmarkEnd w:id="36"/>
    </w:p>
    <w:p w14:paraId="38897E65">
      <w:pPr>
        <w:pStyle w:val="8"/>
        <w:spacing w:after="0" w:line="360" w:lineRule="auto"/>
        <w:ind w:firstLine="422" w:firstLineChars="200"/>
        <w:rPr>
          <w:rFonts w:hint="eastAsia" w:ascii="宋体" w:hAnsi="宋体" w:eastAsia="宋体" w:cs="宋体"/>
          <w:b/>
          <w:bCs/>
          <w:color w:val="auto"/>
          <w:kern w:val="2"/>
          <w:sz w:val="21"/>
          <w:szCs w:val="21"/>
          <w:highlight w:val="none"/>
          <w:lang w:val="en-US" w:eastAsia="zh-CN"/>
        </w:rPr>
      </w:pPr>
      <w:bookmarkStart w:id="38" w:name="_GoBack"/>
      <w:r>
        <w:rPr>
          <w:rFonts w:hint="eastAsia" w:ascii="宋体" w:hAnsi="宋体" w:eastAsia="宋体" w:cs="宋体"/>
          <w:b/>
          <w:bCs/>
          <w:color w:val="auto"/>
          <w:kern w:val="2"/>
          <w:sz w:val="21"/>
          <w:szCs w:val="21"/>
          <w:highlight w:val="none"/>
          <w:lang w:val="en-US" w:eastAsia="zh-CN"/>
        </w:rPr>
        <w:t>未在“河北高速集团招采平台”注册的投标人应首先在“河北高速集团招采平台”完成注册并办理河北高速公路集团专用版CA。</w:t>
      </w:r>
    </w:p>
    <w:p w14:paraId="246C47BC">
      <w:pPr>
        <w:pStyle w:val="8"/>
        <w:spacing w:after="0" w:line="360" w:lineRule="auto"/>
        <w:ind w:firstLine="422" w:firstLineChars="20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河北高速集团招采平台技术咨询电话：0311-83864098、15932016943</w:t>
      </w:r>
    </w:p>
    <w:bookmarkEnd w:id="38"/>
    <w:p w14:paraId="7D96E592">
      <w:pPr>
        <w:adjustRightInd w:val="0"/>
        <w:snapToGrid w:val="0"/>
        <w:spacing w:before="120" w:beforeLines="50" w:line="276" w:lineRule="auto"/>
        <w:rPr>
          <w:b/>
          <w:color w:val="auto"/>
          <w:sz w:val="24"/>
          <w:highlight w:val="none"/>
        </w:rPr>
      </w:pPr>
      <w:r>
        <w:rPr>
          <w:color w:val="auto"/>
          <w:sz w:val="24"/>
          <w:highlight w:val="none"/>
        </w:rPr>
        <w:br w:type="page"/>
      </w:r>
      <w:bookmarkStart w:id="37" w:name="_Toc514238201"/>
      <w:r>
        <w:rPr>
          <w:b/>
          <w:color w:val="auto"/>
          <w:sz w:val="24"/>
          <w:highlight w:val="none"/>
        </w:rPr>
        <w:t>附件1：资格审查条件</w:t>
      </w:r>
      <w:bookmarkEnd w:id="37"/>
    </w:p>
    <w:p w14:paraId="09AD75C9">
      <w:pPr>
        <w:pStyle w:val="29"/>
        <w:rPr>
          <w:color w:val="auto"/>
          <w:highlight w:val="none"/>
        </w:rPr>
      </w:pPr>
    </w:p>
    <w:bookmarkEnd w:id="0"/>
    <w:bookmarkEnd w:id="5"/>
    <w:bookmarkEnd w:id="6"/>
    <w:p w14:paraId="3592F040">
      <w:pPr>
        <w:spacing w:line="360" w:lineRule="auto"/>
        <w:jc w:val="center"/>
        <w:rPr>
          <w:rFonts w:hint="eastAsia" w:ascii="宋体" w:hAnsi="宋体" w:cs="宋体"/>
          <w:color w:val="auto"/>
          <w:sz w:val="21"/>
          <w:szCs w:val="21"/>
          <w:highlight w:val="none"/>
        </w:rPr>
      </w:pPr>
      <w:r>
        <w:rPr>
          <w:rStyle w:val="30"/>
          <w:rFonts w:hint="eastAsia" w:ascii="宋体" w:hAnsi="宋体" w:eastAsia="宋体" w:cs="宋体"/>
          <w:b/>
          <w:color w:val="auto"/>
          <w:sz w:val="21"/>
          <w:szCs w:val="21"/>
          <w:highlight w:val="none"/>
        </w:rPr>
        <w:t>附录1资格审查条件（资质最低条件）</w:t>
      </w:r>
    </w:p>
    <w:tbl>
      <w:tblPr>
        <w:tblStyle w:val="14"/>
        <w:tblW w:w="0" w:type="auto"/>
        <w:tblInd w:w="111"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14:paraId="61F7B95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322" w:type="dxa"/>
            <w:tcBorders>
              <w:top w:val="single" w:color="auto" w:sz="2" w:space="0"/>
              <w:left w:val="single" w:color="auto" w:sz="2" w:space="0"/>
              <w:bottom w:val="single" w:color="auto" w:sz="6" w:space="0"/>
              <w:right w:val="single" w:color="auto" w:sz="2" w:space="0"/>
            </w:tcBorders>
            <w:noWrap w:val="0"/>
            <w:vAlign w:val="center"/>
          </w:tcPr>
          <w:p w14:paraId="22E42F5B">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资质要求</w:t>
            </w:r>
          </w:p>
        </w:tc>
      </w:tr>
      <w:tr w14:paraId="40A0197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9322" w:type="dxa"/>
            <w:tcBorders>
              <w:top w:val="single" w:color="auto" w:sz="2" w:space="0"/>
              <w:left w:val="single" w:color="auto" w:sz="2" w:space="0"/>
              <w:bottom w:val="single" w:color="auto" w:sz="2" w:space="0"/>
              <w:right w:val="single" w:color="auto" w:sz="2" w:space="0"/>
            </w:tcBorders>
            <w:noWrap w:val="0"/>
            <w:vAlign w:val="center"/>
          </w:tcPr>
          <w:p w14:paraId="5C0C66C2">
            <w:pPr>
              <w:keepNext w:val="0"/>
              <w:keepLines w:val="0"/>
              <w:suppressLineNumbers w:val="0"/>
              <w:spacing w:before="0" w:beforeAutospacing="0" w:after="0" w:afterAutospacing="0" w:line="360" w:lineRule="auto"/>
              <w:ind w:left="0" w:right="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具有独立企业法人资格，持有有效的企业</w:t>
            </w:r>
            <w:r>
              <w:rPr>
                <w:rFonts w:hint="eastAsia" w:ascii="宋体" w:hAnsi="宋体" w:cs="宋体"/>
                <w:color w:val="auto"/>
                <w:sz w:val="21"/>
                <w:szCs w:val="21"/>
                <w:highlight w:val="none"/>
                <w:lang w:val="en-US" w:eastAsia="zh-CN"/>
              </w:rPr>
              <w:t>法人</w:t>
            </w:r>
            <w:r>
              <w:rPr>
                <w:rFonts w:hint="eastAsia" w:ascii="宋体" w:hAnsi="宋体" w:cs="宋体"/>
                <w:color w:val="auto"/>
                <w:sz w:val="21"/>
                <w:szCs w:val="21"/>
                <w:highlight w:val="none"/>
              </w:rPr>
              <w:t>营业执照。</w:t>
            </w:r>
          </w:p>
        </w:tc>
      </w:tr>
    </w:tbl>
    <w:p w14:paraId="24713924">
      <w:pPr>
        <w:spacing w:line="360" w:lineRule="auto"/>
        <w:jc w:val="center"/>
        <w:rPr>
          <w:rStyle w:val="31"/>
          <w:rFonts w:hint="eastAsia" w:ascii="宋体" w:hAnsi="宋体" w:eastAsia="宋体" w:cs="宋体"/>
          <w:b/>
          <w:color w:val="auto"/>
          <w:sz w:val="21"/>
          <w:szCs w:val="21"/>
          <w:highlight w:val="none"/>
        </w:rPr>
      </w:pPr>
    </w:p>
    <w:p w14:paraId="4A6BF13D">
      <w:pPr>
        <w:pStyle w:val="13"/>
        <w:ind w:firstLine="0" w:firstLineChars="0"/>
        <w:jc w:val="center"/>
        <w:rPr>
          <w:rFonts w:hint="eastAsia" w:ascii="宋体" w:hAnsi="宋体" w:cs="宋体"/>
          <w:color w:val="auto"/>
          <w:szCs w:val="21"/>
          <w:highlight w:val="none"/>
        </w:rPr>
      </w:pPr>
    </w:p>
    <w:p w14:paraId="18F3DC42">
      <w:pPr>
        <w:spacing w:line="360" w:lineRule="auto"/>
        <w:jc w:val="center"/>
        <w:rPr>
          <w:rFonts w:hint="eastAsia" w:ascii="宋体" w:hAnsi="宋体" w:cs="宋体"/>
          <w:color w:val="auto"/>
          <w:sz w:val="21"/>
          <w:szCs w:val="21"/>
          <w:highlight w:val="none"/>
        </w:rPr>
      </w:pPr>
      <w:r>
        <w:rPr>
          <w:rStyle w:val="31"/>
          <w:rFonts w:hint="eastAsia" w:ascii="宋体" w:hAnsi="宋体" w:eastAsia="宋体" w:cs="宋体"/>
          <w:b/>
          <w:color w:val="auto"/>
          <w:sz w:val="21"/>
          <w:szCs w:val="21"/>
          <w:highlight w:val="none"/>
        </w:rPr>
        <w:t>附录2资格审查条件（</w:t>
      </w:r>
      <w:r>
        <w:rPr>
          <w:rFonts w:hint="eastAsia" w:ascii="宋体" w:hAnsi="宋体" w:cs="宋体"/>
          <w:b/>
          <w:color w:val="auto"/>
          <w:sz w:val="21"/>
          <w:szCs w:val="21"/>
          <w:highlight w:val="none"/>
        </w:rPr>
        <w:t>业绩最低条件</w:t>
      </w:r>
      <w:r>
        <w:rPr>
          <w:rStyle w:val="31"/>
          <w:rFonts w:hint="eastAsia" w:ascii="宋体" w:hAnsi="宋体" w:eastAsia="宋体" w:cs="宋体"/>
          <w:b/>
          <w:color w:val="auto"/>
          <w:sz w:val="21"/>
          <w:szCs w:val="21"/>
          <w:highlight w:val="none"/>
        </w:rPr>
        <w:t>）</w:t>
      </w:r>
    </w:p>
    <w:tbl>
      <w:tblPr>
        <w:tblStyle w:val="14"/>
        <w:tblpPr w:leftFromText="180" w:rightFromText="180" w:vertAnchor="text" w:horzAnchor="margin" w:tblpXSpec="center" w:tblpY="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4618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322" w:type="dxa"/>
            <w:noWrap w:val="0"/>
            <w:vAlign w:val="center"/>
          </w:tcPr>
          <w:p w14:paraId="0D6E953D">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业绩要求</w:t>
            </w:r>
          </w:p>
        </w:tc>
      </w:tr>
      <w:tr w14:paraId="147A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322" w:type="dxa"/>
            <w:noWrap w:val="0"/>
            <w:vAlign w:val="center"/>
          </w:tcPr>
          <w:p w14:paraId="690E1B1C">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近5年内（2020年11月1日至今，以合同签订时间为准）至少承担过1项党政机关或企事业单位物业服务项目，且至少应包含保洁、安保等相关物业服务内容。</w:t>
            </w:r>
          </w:p>
        </w:tc>
      </w:tr>
    </w:tbl>
    <w:p w14:paraId="602AAAB3">
      <w:pPr>
        <w:tabs>
          <w:tab w:val="left" w:pos="3300"/>
        </w:tabs>
        <w:spacing w:line="360" w:lineRule="auto"/>
        <w:jc w:val="center"/>
        <w:rPr>
          <w:rFonts w:hint="eastAsia" w:ascii="宋体" w:hAnsi="宋体" w:cs="宋体"/>
          <w:b/>
          <w:color w:val="auto"/>
          <w:sz w:val="21"/>
          <w:szCs w:val="21"/>
          <w:highlight w:val="none"/>
        </w:rPr>
      </w:pPr>
    </w:p>
    <w:p w14:paraId="78B4B824">
      <w:pPr>
        <w:spacing w:line="360" w:lineRule="auto"/>
        <w:jc w:val="center"/>
        <w:rPr>
          <w:rFonts w:hint="eastAsia" w:ascii="宋体" w:hAnsi="宋体" w:cs="宋体"/>
          <w:b/>
          <w:color w:val="auto"/>
          <w:sz w:val="21"/>
          <w:szCs w:val="21"/>
          <w:highlight w:val="none"/>
        </w:rPr>
      </w:pPr>
    </w:p>
    <w:p w14:paraId="12C96C63">
      <w:pPr>
        <w:spacing w:line="360" w:lineRule="auto"/>
        <w:jc w:val="center"/>
        <w:rPr>
          <w:rFonts w:hint="eastAsia" w:ascii="宋体" w:hAnsi="宋体" w:cs="宋体"/>
          <w:color w:val="auto"/>
          <w:sz w:val="21"/>
          <w:szCs w:val="21"/>
          <w:highlight w:val="none"/>
        </w:rPr>
      </w:pPr>
      <w:r>
        <w:rPr>
          <w:rFonts w:hint="eastAsia" w:ascii="宋体" w:hAnsi="宋体" w:cs="宋体"/>
          <w:b/>
          <w:color w:val="auto"/>
          <w:sz w:val="21"/>
          <w:szCs w:val="21"/>
          <w:highlight w:val="none"/>
        </w:rPr>
        <w:t>附录3资格审查条件（信誉最低条件）</w:t>
      </w:r>
    </w:p>
    <w:tbl>
      <w:tblPr>
        <w:tblStyle w:val="14"/>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14:paraId="1257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14:paraId="6EFDFFCB">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信誉要求</w:t>
            </w:r>
          </w:p>
        </w:tc>
      </w:tr>
      <w:tr w14:paraId="28D3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343" w:type="dxa"/>
            <w:noWrap w:val="0"/>
            <w:vAlign w:val="center"/>
          </w:tcPr>
          <w:p w14:paraId="4D04C8FA">
            <w:pPr>
              <w:keepNext w:val="0"/>
              <w:keepLines w:val="0"/>
              <w:suppressLineNumbers w:val="0"/>
              <w:spacing w:before="0" w:beforeAutospacing="0" w:after="0" w:afterAutospacing="0" w:line="360" w:lineRule="auto"/>
              <w:ind w:left="0" w:right="0"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投标人过去1年(2024年11月1日至今)中不曾在物业服务合同中违约而被驱逐或因投标人自身的原因而使物业服务项目合同被解除。</w:t>
            </w:r>
          </w:p>
        </w:tc>
      </w:tr>
    </w:tbl>
    <w:p w14:paraId="746C807A">
      <w:pPr>
        <w:rPr>
          <w:rFonts w:hint="eastAsia" w:ascii="宋体" w:hAnsi="宋体" w:cs="宋体"/>
          <w:b/>
          <w:bCs/>
          <w:color w:val="auto"/>
          <w:sz w:val="21"/>
          <w:szCs w:val="21"/>
          <w:highlight w:val="none"/>
        </w:rPr>
      </w:pPr>
    </w:p>
    <w:p w14:paraId="66CDEB9D">
      <w:pPr>
        <w:jc w:val="center"/>
        <w:rPr>
          <w:rFonts w:hint="eastAsia" w:ascii="宋体" w:hAnsi="宋体" w:cs="宋体"/>
          <w:b/>
          <w:bCs/>
          <w:snapToGrid w:val="0"/>
          <w:color w:val="auto"/>
          <w:kern w:val="0"/>
          <w:sz w:val="21"/>
          <w:szCs w:val="21"/>
          <w:highlight w:val="none"/>
        </w:rPr>
      </w:pPr>
    </w:p>
    <w:p w14:paraId="2E780A87">
      <w:pPr>
        <w:jc w:val="center"/>
        <w:rPr>
          <w:rFonts w:hint="eastAsia" w:ascii="宋体" w:hAnsi="宋体"/>
          <w:b/>
          <w:bCs/>
          <w:snapToGrid w:val="0"/>
          <w:color w:val="auto"/>
          <w:kern w:val="0"/>
          <w:sz w:val="52"/>
          <w:szCs w:val="52"/>
          <w:highlight w:val="none"/>
        </w:rPr>
      </w:pPr>
    </w:p>
    <w:p w14:paraId="58A8FD6F">
      <w:pPr>
        <w:rPr>
          <w:rFonts w:hint="eastAsia" w:ascii="宋体" w:hAnsi="宋体"/>
          <w:b/>
          <w:bCs/>
          <w:snapToGrid w:val="0"/>
          <w:color w:val="auto"/>
          <w:kern w:val="0"/>
          <w:sz w:val="52"/>
          <w:szCs w:val="52"/>
          <w:highlight w:val="none"/>
        </w:rPr>
      </w:pPr>
      <w:r>
        <w:rPr>
          <w:rFonts w:hint="eastAsia" w:ascii="宋体" w:hAnsi="宋体"/>
          <w:b/>
          <w:bCs/>
          <w:snapToGrid w:val="0"/>
          <w:color w:val="auto"/>
          <w:kern w:val="0"/>
          <w:sz w:val="52"/>
          <w:szCs w:val="52"/>
          <w:highlight w:val="none"/>
        </w:rPr>
        <w:br w:type="page"/>
      </w:r>
    </w:p>
    <w:p w14:paraId="7408F8C0">
      <w:pPr>
        <w:pStyle w:val="3"/>
        <w:snapToGrid w:val="0"/>
        <w:spacing w:before="0" w:after="0" w:line="360" w:lineRule="auto"/>
        <w:rPr>
          <w:rFonts w:hint="eastAsia" w:ascii="黑体" w:hAnsi="黑体" w:eastAsia="黑体" w:cs="黑体"/>
          <w:color w:val="auto"/>
          <w:sz w:val="24"/>
          <w:szCs w:val="24"/>
          <w:highlight w:val="none"/>
        </w:rPr>
      </w:pPr>
      <w:r>
        <w:rPr>
          <w:b/>
          <w:color w:val="auto"/>
          <w:sz w:val="24"/>
          <w:highlight w:val="none"/>
        </w:rPr>
        <w:t>附件</w:t>
      </w:r>
      <w:r>
        <w:rPr>
          <w:rFonts w:hint="eastAsia"/>
          <w:b/>
          <w:color w:val="auto"/>
          <w:sz w:val="24"/>
          <w:highlight w:val="none"/>
          <w:lang w:val="en-US" w:eastAsia="zh-CN"/>
        </w:rPr>
        <w:t>2</w:t>
      </w:r>
      <w:r>
        <w:rPr>
          <w:b/>
          <w:color w:val="auto"/>
          <w:sz w:val="24"/>
          <w:highlight w:val="none"/>
        </w:rPr>
        <w:t>：</w:t>
      </w:r>
      <w:r>
        <w:rPr>
          <w:rFonts w:hint="eastAsia" w:ascii="黑体" w:hAnsi="黑体" w:eastAsia="黑体" w:cs="黑体"/>
          <w:color w:val="auto"/>
          <w:spacing w:val="2"/>
          <w:kern w:val="0"/>
          <w:sz w:val="24"/>
          <w:szCs w:val="24"/>
          <w:highlight w:val="none"/>
        </w:rPr>
        <w:t>评标</w:t>
      </w:r>
      <w:r>
        <w:rPr>
          <w:rFonts w:hint="eastAsia" w:ascii="黑体" w:hAnsi="黑体" w:eastAsia="黑体" w:cs="黑体"/>
          <w:color w:val="auto"/>
          <w:kern w:val="0"/>
          <w:sz w:val="24"/>
          <w:szCs w:val="24"/>
          <w:highlight w:val="none"/>
        </w:rPr>
        <w:t>办法前附表</w:t>
      </w:r>
    </w:p>
    <w:tbl>
      <w:tblPr>
        <w:tblStyle w:val="34"/>
        <w:tblW w:w="9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7"/>
        <w:gridCol w:w="975"/>
        <w:gridCol w:w="1090"/>
        <w:gridCol w:w="485"/>
        <w:gridCol w:w="6310"/>
      </w:tblGrid>
      <w:tr w14:paraId="71BE5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772" w:type="dxa"/>
            <w:gridSpan w:val="2"/>
            <w:vAlign w:val="center"/>
          </w:tcPr>
          <w:p w14:paraId="4F7F389F">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575" w:type="dxa"/>
            <w:gridSpan w:val="2"/>
            <w:vAlign w:val="center"/>
          </w:tcPr>
          <w:p w14:paraId="535B052C">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6310" w:type="dxa"/>
            <w:vAlign w:val="center"/>
          </w:tcPr>
          <w:p w14:paraId="0ED6662C">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67F09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jc w:val="center"/>
        </w:trPr>
        <w:tc>
          <w:tcPr>
            <w:tcW w:w="797" w:type="dxa"/>
            <w:vAlign w:val="center"/>
          </w:tcPr>
          <w:p w14:paraId="0B13E759">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75" w:type="dxa"/>
            <w:vAlign w:val="center"/>
          </w:tcPr>
          <w:p w14:paraId="0D714927">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1575" w:type="dxa"/>
            <w:gridSpan w:val="2"/>
            <w:vAlign w:val="center"/>
          </w:tcPr>
          <w:p w14:paraId="67DA26C2">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中标候选人排序方法</w:t>
            </w:r>
          </w:p>
        </w:tc>
        <w:tc>
          <w:tcPr>
            <w:tcW w:w="6310" w:type="dxa"/>
            <w:vAlign w:val="center"/>
          </w:tcPr>
          <w:p w14:paraId="73012E2C">
            <w:pPr>
              <w:pStyle w:val="33"/>
              <w:keepNext w:val="0"/>
              <w:keepLines w:val="0"/>
              <w:pageBreakBefore w:val="0"/>
              <w:kinsoku/>
              <w:wordWrap/>
              <w:overflowPunct/>
              <w:topLinePunct w:val="0"/>
              <w:autoSpaceDE/>
              <w:autoSpaceDN/>
              <w:bidi w:val="0"/>
              <w:adjustRightInd/>
              <w:snapToGrid w:val="0"/>
              <w:spacing w:line="300" w:lineRule="exact"/>
              <w:ind w:firstLine="404" w:firstLineChars="200"/>
              <w:textAlignment w:val="auto"/>
              <w:rPr>
                <w:rFonts w:hint="eastAsia" w:ascii="宋体" w:hAnsi="宋体" w:eastAsia="宋体" w:cs="宋体"/>
                <w:color w:val="auto"/>
                <w:spacing w:val="-1"/>
                <w:sz w:val="21"/>
                <w:szCs w:val="21"/>
                <w:highlight w:val="none"/>
              </w:rPr>
            </w:pPr>
            <w:r>
              <w:rPr>
                <w:rFonts w:ascii="宋体" w:hAnsi="宋体"/>
                <w:color w:val="auto"/>
                <w:spacing w:val="-4"/>
                <w:sz w:val="21"/>
                <w:szCs w:val="21"/>
                <w:highlight w:val="none"/>
              </w:rPr>
              <w:t>本次评标采用综合评估法，</w:t>
            </w:r>
            <w:r>
              <w:rPr>
                <w:rFonts w:hint="eastAsia" w:ascii="宋体" w:hAnsi="宋体" w:eastAsia="宋体" w:cs="宋体"/>
                <w:color w:val="auto"/>
                <w:sz w:val="21"/>
                <w:szCs w:val="21"/>
                <w:highlight w:val="none"/>
              </w:rPr>
              <w:t>评标委员会对满足招标文件实质性要求的投标文件，按照本章第2.2款规定的评分标准进行打分，</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按照综合得分由高到低的顺序推荐</w:t>
            </w:r>
            <w:r>
              <w:rPr>
                <w:rFonts w:hint="eastAsia" w:ascii="宋体" w:hAnsi="宋体" w:eastAsia="宋体" w:cs="宋体"/>
                <w:color w:val="auto"/>
                <w:sz w:val="21"/>
                <w:szCs w:val="21"/>
                <w:highlight w:val="none"/>
                <w:lang w:val="en-US" w:eastAsia="zh-CN"/>
              </w:rPr>
              <w:t>1-3名</w:t>
            </w:r>
            <w:r>
              <w:rPr>
                <w:rFonts w:hint="eastAsia" w:ascii="宋体" w:hAnsi="宋体" w:eastAsia="宋体" w:cs="宋体"/>
                <w:color w:val="auto"/>
                <w:sz w:val="21"/>
                <w:szCs w:val="21"/>
                <w:highlight w:val="none"/>
              </w:rPr>
              <w:t>中标候选人并标明排序。</w:t>
            </w:r>
          </w:p>
          <w:p w14:paraId="777CFB73">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综合评分相等时，评标委员会依次按照以下优先顺序推荐中标候选人或确定中标人：</w:t>
            </w:r>
          </w:p>
          <w:p w14:paraId="5A515FA4">
            <w:pPr>
              <w:pStyle w:val="33"/>
              <w:keepNext w:val="0"/>
              <w:keepLines w:val="0"/>
              <w:pageBreakBefore w:val="0"/>
              <w:kinsoku/>
              <w:wordWrap/>
              <w:overflowPunct/>
              <w:topLinePunct w:val="0"/>
              <w:autoSpaceDE/>
              <w:autoSpaceDN/>
              <w:bidi w:val="0"/>
              <w:adjustRightInd/>
              <w:snapToGrid w:val="0"/>
              <w:spacing w:line="300" w:lineRule="exact"/>
              <w:ind w:firstLine="0" w:firstLineChars="0"/>
              <w:rPr>
                <w:rFonts w:hint="default" w:ascii="宋体" w:hAnsi="宋体" w:eastAsia="宋体" w:cs="Times New Roman"/>
                <w:color w:val="auto"/>
                <w:spacing w:val="-4"/>
                <w:sz w:val="21"/>
                <w:szCs w:val="21"/>
                <w:highlight w:val="none"/>
              </w:rPr>
            </w:pPr>
            <w:r>
              <w:rPr>
                <w:rFonts w:hint="default" w:ascii="宋体" w:hAnsi="宋体" w:eastAsia="宋体" w:cs="Times New Roman"/>
                <w:color w:val="auto"/>
                <w:spacing w:val="-4"/>
                <w:sz w:val="21"/>
                <w:szCs w:val="21"/>
                <w:highlight w:val="none"/>
              </w:rPr>
              <w:t>（1）评标价低的投标人优先；</w:t>
            </w:r>
          </w:p>
          <w:p w14:paraId="12896B1E">
            <w:pPr>
              <w:pStyle w:val="33"/>
              <w:keepNext w:val="0"/>
              <w:keepLines w:val="0"/>
              <w:pageBreakBefore w:val="0"/>
              <w:kinsoku/>
              <w:wordWrap/>
              <w:overflowPunct/>
              <w:topLinePunct w:val="0"/>
              <w:autoSpaceDE/>
              <w:autoSpaceDN/>
              <w:bidi w:val="0"/>
              <w:adjustRightInd/>
              <w:snapToGrid w:val="0"/>
              <w:spacing w:line="300" w:lineRule="exact"/>
              <w:ind w:firstLine="0" w:firstLineChars="0"/>
              <w:rPr>
                <w:rFonts w:hint="default" w:ascii="宋体" w:hAnsi="宋体" w:eastAsia="宋体" w:cs="Times New Roman"/>
                <w:color w:val="auto"/>
                <w:spacing w:val="-4"/>
                <w:sz w:val="21"/>
                <w:szCs w:val="21"/>
                <w:highlight w:val="none"/>
              </w:rPr>
            </w:pPr>
            <w:r>
              <w:rPr>
                <w:rFonts w:hint="default" w:ascii="宋体" w:hAnsi="宋体" w:eastAsia="宋体" w:cs="Times New Roman"/>
                <w:color w:val="auto"/>
                <w:spacing w:val="-4"/>
                <w:sz w:val="21"/>
                <w:szCs w:val="21"/>
                <w:highlight w:val="none"/>
              </w:rPr>
              <w:t>（2）</w:t>
            </w:r>
            <w:r>
              <w:rPr>
                <w:rFonts w:hint="eastAsia" w:ascii="宋体" w:hAnsi="宋体" w:cs="Times New Roman"/>
                <w:color w:val="auto"/>
                <w:spacing w:val="-4"/>
                <w:sz w:val="21"/>
                <w:szCs w:val="21"/>
                <w:highlight w:val="none"/>
                <w:lang w:val="en-US" w:eastAsia="zh-CN"/>
              </w:rPr>
              <w:t>实施方案</w:t>
            </w:r>
            <w:r>
              <w:rPr>
                <w:rFonts w:hint="default" w:ascii="宋体" w:hAnsi="宋体" w:eastAsia="宋体" w:cs="Times New Roman"/>
                <w:color w:val="auto"/>
                <w:spacing w:val="-4"/>
                <w:sz w:val="21"/>
                <w:szCs w:val="21"/>
                <w:highlight w:val="none"/>
              </w:rPr>
              <w:t>得分较高的投标人优先；</w:t>
            </w:r>
          </w:p>
          <w:p w14:paraId="2FF2BC14">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default" w:ascii="宋体" w:hAnsi="宋体" w:cs="Times New Roman"/>
                <w:color w:val="auto"/>
                <w:spacing w:val="-4"/>
                <w:sz w:val="21"/>
                <w:szCs w:val="21"/>
                <w:highlight w:val="none"/>
              </w:rPr>
              <w:t>（3）投标人近</w:t>
            </w:r>
            <w:r>
              <w:rPr>
                <w:rFonts w:hint="eastAsia" w:ascii="宋体" w:hAnsi="宋体" w:cs="Times New Roman"/>
                <w:color w:val="auto"/>
                <w:spacing w:val="-4"/>
                <w:sz w:val="21"/>
                <w:szCs w:val="21"/>
                <w:highlight w:val="none"/>
                <w:lang w:eastAsia="zh-CN"/>
              </w:rPr>
              <w:t>5</w:t>
            </w:r>
            <w:r>
              <w:rPr>
                <w:rFonts w:hint="default" w:ascii="宋体" w:hAnsi="宋体" w:cs="Times New Roman"/>
                <w:color w:val="auto"/>
                <w:spacing w:val="-4"/>
                <w:sz w:val="21"/>
                <w:szCs w:val="21"/>
                <w:highlight w:val="none"/>
              </w:rPr>
              <w:t>年内满足资格审查条件(业绩最低条件)要求的业绩</w:t>
            </w:r>
            <w:r>
              <w:rPr>
                <w:rFonts w:hint="default" w:ascii="宋体" w:hAnsi="宋体" w:cs="Times New Roman"/>
                <w:color w:val="auto"/>
                <w:spacing w:val="-4"/>
                <w:sz w:val="21"/>
                <w:szCs w:val="21"/>
                <w:highlight w:val="none"/>
                <w:lang w:val="en-US" w:eastAsia="zh-CN"/>
              </w:rPr>
              <w:t>数量多</w:t>
            </w:r>
            <w:r>
              <w:rPr>
                <w:rFonts w:hint="default" w:ascii="宋体" w:hAnsi="宋体" w:cs="Times New Roman"/>
                <w:color w:val="auto"/>
                <w:spacing w:val="-4"/>
                <w:sz w:val="21"/>
                <w:szCs w:val="21"/>
                <w:highlight w:val="none"/>
              </w:rPr>
              <w:t>的优先。</w:t>
            </w:r>
          </w:p>
        </w:tc>
      </w:tr>
      <w:tr w14:paraId="0FCCD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797" w:type="dxa"/>
            <w:vMerge w:val="restart"/>
            <w:vAlign w:val="center"/>
          </w:tcPr>
          <w:p w14:paraId="1F6D3B61">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975" w:type="dxa"/>
            <w:vMerge w:val="restart"/>
            <w:vAlign w:val="center"/>
          </w:tcPr>
          <w:p w14:paraId="6244E790">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形式评审</w:t>
            </w:r>
            <w:r>
              <w:rPr>
                <w:rFonts w:hint="eastAsia" w:ascii="宋体" w:hAnsi="宋体" w:eastAsia="宋体" w:cs="宋体"/>
                <w:color w:val="auto"/>
                <w:sz w:val="21"/>
                <w:szCs w:val="21"/>
                <w:highlight w:val="none"/>
              </w:rPr>
              <w:t>标准</w:t>
            </w:r>
          </w:p>
        </w:tc>
        <w:tc>
          <w:tcPr>
            <w:tcW w:w="1575" w:type="dxa"/>
            <w:gridSpan w:val="2"/>
            <w:vAlign w:val="center"/>
          </w:tcPr>
          <w:p w14:paraId="3B905868">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6310" w:type="dxa"/>
            <w:vAlign w:val="center"/>
          </w:tcPr>
          <w:p w14:paraId="3351BA01">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与营业执照一致</w:t>
            </w:r>
          </w:p>
        </w:tc>
      </w:tr>
      <w:tr w14:paraId="1A264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797" w:type="dxa"/>
            <w:vMerge w:val="continue"/>
            <w:vAlign w:val="center"/>
          </w:tcPr>
          <w:p w14:paraId="243696E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tcBorders>
              <w:top w:val="nil"/>
            </w:tcBorders>
            <w:vAlign w:val="center"/>
          </w:tcPr>
          <w:p w14:paraId="1E786AA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vAlign w:val="center"/>
          </w:tcPr>
          <w:p w14:paraId="606E7966">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投标签字盖章</w:t>
            </w:r>
          </w:p>
        </w:tc>
        <w:tc>
          <w:tcPr>
            <w:tcW w:w="6310" w:type="dxa"/>
            <w:vAlign w:val="center"/>
          </w:tcPr>
          <w:p w14:paraId="6E9F42CE">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3"/>
                <w:sz w:val="21"/>
                <w:szCs w:val="21"/>
                <w:highlight w:val="none"/>
              </w:rPr>
              <w:t>第二章“</w:t>
            </w:r>
            <w:r>
              <w:rPr>
                <w:rFonts w:hint="eastAsia" w:ascii="宋体" w:hAnsi="宋体" w:eastAsia="宋体" w:cs="宋体"/>
                <w:color w:val="auto"/>
                <w:sz w:val="21"/>
                <w:szCs w:val="21"/>
                <w:highlight w:val="none"/>
              </w:rPr>
              <w:t>投标人须知前附表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第3.7.3项中</w:t>
            </w:r>
            <w:r>
              <w:rPr>
                <w:rFonts w:hint="eastAsia" w:ascii="宋体" w:hAnsi="宋体" w:eastAsia="宋体" w:cs="宋体"/>
                <w:color w:val="auto"/>
                <w:sz w:val="21"/>
                <w:szCs w:val="21"/>
                <w:highlight w:val="none"/>
              </w:rPr>
              <w:t>签字或盖章要求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规定</w:t>
            </w:r>
          </w:p>
        </w:tc>
      </w:tr>
      <w:tr w14:paraId="3E998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2B5173C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tcBorders>
              <w:top w:val="nil"/>
            </w:tcBorders>
            <w:vAlign w:val="center"/>
          </w:tcPr>
          <w:p w14:paraId="620984B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vAlign w:val="center"/>
          </w:tcPr>
          <w:p w14:paraId="5A3B2F25">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310" w:type="dxa"/>
            <w:vAlign w:val="center"/>
          </w:tcPr>
          <w:p w14:paraId="5D168867">
            <w:pPr>
              <w:tabs>
                <w:tab w:val="left" w:pos="3060"/>
              </w:tabs>
              <w:snapToGrid w:val="0"/>
              <w:spacing w:line="320" w:lineRule="exact"/>
              <w:rPr>
                <w:rFonts w:ascii="宋体" w:hAnsi="宋体"/>
                <w:bCs/>
                <w:color w:val="auto"/>
                <w:sz w:val="21"/>
                <w:szCs w:val="21"/>
                <w:highlight w:val="none"/>
              </w:rPr>
            </w:pPr>
            <w:r>
              <w:rPr>
                <w:rFonts w:ascii="宋体" w:hAnsi="宋体"/>
                <w:bCs/>
                <w:color w:val="auto"/>
                <w:sz w:val="21"/>
                <w:szCs w:val="21"/>
                <w:highlight w:val="none"/>
              </w:rPr>
              <w:t>投标文件按照招标文件规定的格式、内容填写，字迹清晰可辨：</w:t>
            </w:r>
          </w:p>
          <w:p w14:paraId="5C4ED3C9">
            <w:pPr>
              <w:tabs>
                <w:tab w:val="left" w:pos="3060"/>
              </w:tabs>
              <w:snapToGrid w:val="0"/>
              <w:spacing w:line="320" w:lineRule="exact"/>
              <w:rPr>
                <w:rFonts w:ascii="宋体" w:hAnsi="宋体"/>
                <w:bCs/>
                <w:color w:val="auto"/>
                <w:sz w:val="21"/>
                <w:szCs w:val="21"/>
                <w:highlight w:val="none"/>
              </w:rPr>
            </w:pPr>
            <w:r>
              <w:rPr>
                <w:rFonts w:ascii="宋体" w:hAnsi="宋体"/>
                <w:bCs/>
                <w:color w:val="auto"/>
                <w:sz w:val="21"/>
                <w:szCs w:val="21"/>
                <w:highlight w:val="none"/>
              </w:rPr>
              <w:t>a.投标函按招标文件规定填报了项目名称</w:t>
            </w:r>
            <w:r>
              <w:rPr>
                <w:rFonts w:hint="eastAsia" w:ascii="宋体" w:hAnsi="宋体"/>
                <w:bCs/>
                <w:color w:val="auto"/>
                <w:sz w:val="21"/>
                <w:szCs w:val="21"/>
                <w:highlight w:val="none"/>
              </w:rPr>
              <w:t>、</w:t>
            </w:r>
            <w:r>
              <w:rPr>
                <w:rFonts w:ascii="宋体" w:hAnsi="宋体"/>
                <w:bCs/>
                <w:color w:val="auto"/>
                <w:sz w:val="21"/>
                <w:szCs w:val="21"/>
                <w:highlight w:val="none"/>
              </w:rPr>
              <w:t>补遗书编号（如有）、</w:t>
            </w:r>
            <w:r>
              <w:rPr>
                <w:rFonts w:hint="eastAsia" w:ascii="宋体" w:hAnsi="宋体"/>
                <w:bCs/>
                <w:color w:val="auto"/>
                <w:sz w:val="21"/>
                <w:szCs w:val="21"/>
                <w:highlight w:val="none"/>
                <w:lang w:val="en-US" w:eastAsia="zh-CN"/>
              </w:rPr>
              <w:t>报价、</w:t>
            </w:r>
            <w:r>
              <w:rPr>
                <w:rFonts w:ascii="宋体" w:hAnsi="宋体"/>
                <w:bCs/>
                <w:color w:val="auto"/>
                <w:sz w:val="21"/>
                <w:szCs w:val="21"/>
                <w:highlight w:val="none"/>
              </w:rPr>
              <w:t>服务期限</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服务质量等内容</w:t>
            </w:r>
            <w:r>
              <w:rPr>
                <w:rFonts w:ascii="宋体" w:hAnsi="宋体"/>
                <w:bCs/>
                <w:color w:val="auto"/>
                <w:sz w:val="21"/>
                <w:szCs w:val="21"/>
                <w:highlight w:val="none"/>
              </w:rPr>
              <w:t>；</w:t>
            </w:r>
          </w:p>
          <w:p w14:paraId="4C71269F">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lang w:val="en-US" w:eastAsia="zh-CN"/>
              </w:rPr>
            </w:pPr>
            <w:r>
              <w:rPr>
                <w:rFonts w:ascii="宋体" w:hAnsi="宋体"/>
                <w:bCs/>
                <w:color w:val="auto"/>
                <w:sz w:val="21"/>
                <w:szCs w:val="21"/>
                <w:highlight w:val="none"/>
              </w:rPr>
              <w:t>b.投标文件组成齐全完整，内容均按规定填写。</w:t>
            </w:r>
          </w:p>
        </w:tc>
      </w:tr>
      <w:tr w14:paraId="7E4C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5393372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tcBorders>
              <w:top w:val="nil"/>
            </w:tcBorders>
            <w:vAlign w:val="center"/>
          </w:tcPr>
          <w:p w14:paraId="687416C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vAlign w:val="center"/>
          </w:tcPr>
          <w:p w14:paraId="07828FBC">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联合体投标人</w:t>
            </w:r>
          </w:p>
        </w:tc>
        <w:tc>
          <w:tcPr>
            <w:tcW w:w="6310" w:type="dxa"/>
            <w:vAlign w:val="center"/>
          </w:tcPr>
          <w:p w14:paraId="31D4EAFE">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投标人未</w:t>
            </w:r>
            <w:r>
              <w:rPr>
                <w:rFonts w:hint="eastAsia" w:ascii="宋体" w:hAnsi="宋体" w:eastAsia="宋体" w:cs="宋体"/>
                <w:color w:val="auto"/>
                <w:sz w:val="21"/>
                <w:szCs w:val="21"/>
                <w:highlight w:val="none"/>
              </w:rPr>
              <w:t>以联合体形式参加投标</w:t>
            </w:r>
          </w:p>
        </w:tc>
      </w:tr>
      <w:tr w14:paraId="2312A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15F30EC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tcBorders>
              <w:top w:val="nil"/>
            </w:tcBorders>
            <w:vAlign w:val="center"/>
          </w:tcPr>
          <w:p w14:paraId="4AD2074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shd w:val="clear" w:color="auto" w:fill="auto"/>
            <w:vAlign w:val="center"/>
          </w:tcPr>
          <w:p w14:paraId="340BB43F">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w:t>
            </w:r>
          </w:p>
        </w:tc>
        <w:tc>
          <w:tcPr>
            <w:tcW w:w="6310" w:type="dxa"/>
            <w:shd w:val="clear" w:color="auto" w:fill="auto"/>
            <w:vAlign w:val="center"/>
          </w:tcPr>
          <w:p w14:paraId="46A17B1A">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未提交备选投标方案</w:t>
            </w:r>
          </w:p>
        </w:tc>
      </w:tr>
      <w:tr w14:paraId="60E13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33B4D6D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tcBorders>
              <w:top w:val="nil"/>
            </w:tcBorders>
            <w:vAlign w:val="center"/>
          </w:tcPr>
          <w:p w14:paraId="52AF2E3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shd w:val="clear" w:color="auto" w:fill="auto"/>
            <w:vAlign w:val="center"/>
          </w:tcPr>
          <w:p w14:paraId="367AD536">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cs="宋体"/>
                <w:color w:val="auto"/>
                <w:sz w:val="21"/>
                <w:szCs w:val="21"/>
                <w:highlight w:val="none"/>
                <w:lang w:val="en-US" w:eastAsia="zh-CN"/>
              </w:rPr>
            </w:pPr>
            <w:r>
              <w:rPr>
                <w:rFonts w:hint="eastAsia" w:ascii="宋体" w:hAnsi="宋体"/>
                <w:color w:val="auto"/>
                <w:sz w:val="21"/>
                <w:szCs w:val="21"/>
                <w:highlight w:val="none"/>
              </w:rPr>
              <w:t>投标文件</w:t>
            </w:r>
          </w:p>
        </w:tc>
        <w:tc>
          <w:tcPr>
            <w:tcW w:w="6310" w:type="dxa"/>
            <w:shd w:val="clear" w:color="auto" w:fill="auto"/>
            <w:vAlign w:val="center"/>
          </w:tcPr>
          <w:p w14:paraId="6C52F97D">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rPr>
              <w:t>同一投标人未提交两个以上不同的投标文件</w:t>
            </w:r>
          </w:p>
        </w:tc>
      </w:tr>
      <w:tr w14:paraId="1E324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4E7F86E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tcBorders>
              <w:top w:val="nil"/>
            </w:tcBorders>
            <w:vAlign w:val="center"/>
          </w:tcPr>
          <w:p w14:paraId="0E3542B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shd w:val="clear" w:color="auto" w:fill="auto"/>
            <w:vAlign w:val="center"/>
          </w:tcPr>
          <w:p w14:paraId="570C4A1C">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分包</w:t>
            </w:r>
          </w:p>
        </w:tc>
        <w:tc>
          <w:tcPr>
            <w:tcW w:w="6310" w:type="dxa"/>
            <w:shd w:val="clear" w:color="auto" w:fill="auto"/>
            <w:vAlign w:val="center"/>
          </w:tcPr>
          <w:p w14:paraId="7D6DCF33">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未提交</w:t>
            </w:r>
            <w:r>
              <w:rPr>
                <w:rFonts w:hint="eastAsia" w:ascii="宋体" w:hAnsi="宋体" w:eastAsia="宋体" w:cs="宋体"/>
                <w:color w:val="auto"/>
                <w:sz w:val="21"/>
                <w:szCs w:val="21"/>
                <w:highlight w:val="none"/>
              </w:rPr>
              <w:t>分包计划</w:t>
            </w:r>
          </w:p>
        </w:tc>
      </w:tr>
      <w:tr w14:paraId="6A70E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97" w:type="dxa"/>
            <w:vMerge w:val="restart"/>
            <w:vAlign w:val="center"/>
          </w:tcPr>
          <w:p w14:paraId="7764B85A">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975" w:type="dxa"/>
            <w:vMerge w:val="restart"/>
            <w:vAlign w:val="center"/>
          </w:tcPr>
          <w:p w14:paraId="58A312DC">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资格评审</w:t>
            </w:r>
            <w:r>
              <w:rPr>
                <w:rFonts w:hint="eastAsia" w:ascii="宋体" w:hAnsi="宋体" w:eastAsia="宋体" w:cs="宋体"/>
                <w:color w:val="auto"/>
                <w:sz w:val="21"/>
                <w:szCs w:val="21"/>
                <w:highlight w:val="none"/>
              </w:rPr>
              <w:t>标准</w:t>
            </w:r>
          </w:p>
        </w:tc>
        <w:tc>
          <w:tcPr>
            <w:tcW w:w="1575" w:type="dxa"/>
            <w:gridSpan w:val="2"/>
            <w:vAlign w:val="center"/>
          </w:tcPr>
          <w:p w14:paraId="32AC929B">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6310" w:type="dxa"/>
            <w:vAlign w:val="center"/>
          </w:tcPr>
          <w:p w14:paraId="6F33D33F">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具有独立法人资格，持有有效的企业营业执照</w:t>
            </w:r>
            <w:r>
              <w:rPr>
                <w:rFonts w:hint="eastAsia" w:ascii="宋体" w:hAnsi="宋体" w:cs="宋体"/>
                <w:color w:val="auto"/>
                <w:sz w:val="21"/>
                <w:szCs w:val="21"/>
                <w:highlight w:val="none"/>
                <w:lang w:eastAsia="zh-CN"/>
              </w:rPr>
              <w:t>。</w:t>
            </w:r>
          </w:p>
        </w:tc>
      </w:tr>
      <w:tr w14:paraId="44635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797" w:type="dxa"/>
            <w:vMerge w:val="continue"/>
            <w:vAlign w:val="center"/>
          </w:tcPr>
          <w:p w14:paraId="129488E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vAlign w:val="center"/>
          </w:tcPr>
          <w:p w14:paraId="0B36074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vAlign w:val="center"/>
          </w:tcPr>
          <w:p w14:paraId="176D9BDA">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w:t>
            </w:r>
          </w:p>
        </w:tc>
        <w:tc>
          <w:tcPr>
            <w:tcW w:w="6310" w:type="dxa"/>
            <w:vAlign w:val="center"/>
          </w:tcPr>
          <w:p w14:paraId="0B2CAA3E">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符合第二章“投标人须知”第1.4.1项</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须知前附表第3.5.1款</w:t>
            </w:r>
            <w:r>
              <w:rPr>
                <w:rFonts w:hint="eastAsia" w:ascii="宋体" w:hAnsi="宋体" w:eastAsia="宋体" w:cs="宋体"/>
                <w:color w:val="auto"/>
                <w:spacing w:val="-3"/>
                <w:sz w:val="21"/>
                <w:szCs w:val="21"/>
                <w:highlight w:val="none"/>
              </w:rPr>
              <w:t>规定</w:t>
            </w:r>
          </w:p>
        </w:tc>
      </w:tr>
      <w:tr w14:paraId="710A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797" w:type="dxa"/>
            <w:vMerge w:val="continue"/>
            <w:vAlign w:val="center"/>
          </w:tcPr>
          <w:p w14:paraId="4C3F224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vAlign w:val="center"/>
          </w:tcPr>
          <w:p w14:paraId="2BCCE14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vAlign w:val="center"/>
          </w:tcPr>
          <w:p w14:paraId="0FE73C6F">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业绩要求</w:t>
            </w:r>
          </w:p>
        </w:tc>
        <w:tc>
          <w:tcPr>
            <w:tcW w:w="6310" w:type="dxa"/>
            <w:vAlign w:val="center"/>
          </w:tcPr>
          <w:p w14:paraId="6F0FFAF0">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符合第二章“投标人须知”第1.4.1项</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须知前附表第3.5.</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款</w:t>
            </w:r>
            <w:r>
              <w:rPr>
                <w:rFonts w:hint="eastAsia" w:ascii="宋体" w:hAnsi="宋体" w:eastAsia="宋体" w:cs="宋体"/>
                <w:color w:val="auto"/>
                <w:spacing w:val="-3"/>
                <w:sz w:val="21"/>
                <w:szCs w:val="21"/>
                <w:highlight w:val="none"/>
              </w:rPr>
              <w:t>规定</w:t>
            </w:r>
          </w:p>
        </w:tc>
      </w:tr>
      <w:tr w14:paraId="4824C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797" w:type="dxa"/>
            <w:vMerge w:val="continue"/>
            <w:vAlign w:val="center"/>
          </w:tcPr>
          <w:p w14:paraId="0493DE9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vAlign w:val="center"/>
          </w:tcPr>
          <w:p w14:paraId="252DB94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vAlign w:val="center"/>
          </w:tcPr>
          <w:p w14:paraId="306BC5AA">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c>
          <w:tcPr>
            <w:tcW w:w="6310" w:type="dxa"/>
            <w:vAlign w:val="center"/>
          </w:tcPr>
          <w:p w14:paraId="2EFC5B06">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符合第二章“投标人须知”第1.4.1项</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须知前附表第3.5.</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款</w:t>
            </w:r>
            <w:r>
              <w:rPr>
                <w:rFonts w:hint="eastAsia" w:ascii="宋体" w:hAnsi="宋体" w:eastAsia="宋体" w:cs="宋体"/>
                <w:color w:val="auto"/>
                <w:spacing w:val="-3"/>
                <w:sz w:val="21"/>
                <w:szCs w:val="21"/>
                <w:highlight w:val="none"/>
              </w:rPr>
              <w:t>规定</w:t>
            </w:r>
          </w:p>
        </w:tc>
      </w:tr>
      <w:tr w14:paraId="471E5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797" w:type="dxa"/>
            <w:vMerge w:val="continue"/>
            <w:vAlign w:val="center"/>
          </w:tcPr>
          <w:p w14:paraId="153F60F4">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vAlign w:val="center"/>
          </w:tcPr>
          <w:p w14:paraId="2632BAEC">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vAlign w:val="center"/>
          </w:tcPr>
          <w:p w14:paraId="35E6BABE">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6310" w:type="dxa"/>
            <w:vAlign w:val="center"/>
          </w:tcPr>
          <w:p w14:paraId="3D1D2535">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w:t>
            </w:r>
            <w:r>
              <w:rPr>
                <w:rFonts w:hint="eastAsia" w:ascii="宋体" w:hAnsi="宋体" w:cs="宋体"/>
                <w:color w:val="auto"/>
                <w:sz w:val="21"/>
                <w:szCs w:val="21"/>
                <w:highlight w:val="none"/>
                <w:lang w:val="en-US" w:eastAsia="zh-CN"/>
              </w:rPr>
              <w:t>招标公告</w:t>
            </w: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3.1.4</w:t>
            </w:r>
            <w:r>
              <w:rPr>
                <w:rFonts w:hint="eastAsia" w:ascii="宋体" w:hAnsi="宋体" w:eastAsia="宋体" w:cs="宋体"/>
                <w:color w:val="auto"/>
                <w:sz w:val="21"/>
                <w:szCs w:val="21"/>
                <w:highlight w:val="none"/>
              </w:rPr>
              <w:t>项规定</w:t>
            </w:r>
          </w:p>
        </w:tc>
      </w:tr>
      <w:tr w14:paraId="72CF5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797" w:type="dxa"/>
            <w:vMerge w:val="continue"/>
            <w:vAlign w:val="center"/>
          </w:tcPr>
          <w:p w14:paraId="6953C49A">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vAlign w:val="center"/>
          </w:tcPr>
          <w:p w14:paraId="0B3B8598">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shd w:val="clear" w:color="auto" w:fill="auto"/>
            <w:vAlign w:val="center"/>
          </w:tcPr>
          <w:p w14:paraId="5FDC8FA9">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不存在禁止投标的情形</w:t>
            </w:r>
          </w:p>
        </w:tc>
        <w:tc>
          <w:tcPr>
            <w:tcW w:w="6310" w:type="dxa"/>
            <w:shd w:val="clear" w:color="auto" w:fill="auto"/>
            <w:vAlign w:val="center"/>
          </w:tcPr>
          <w:p w14:paraId="798EC867">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不存在第二章“投标人须知”第1.4.3项或第1.4.4项规定的任何一种情形</w:t>
            </w:r>
          </w:p>
        </w:tc>
      </w:tr>
      <w:tr w14:paraId="6B08F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restart"/>
            <w:vAlign w:val="center"/>
          </w:tcPr>
          <w:p w14:paraId="4971DCA8">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975" w:type="dxa"/>
            <w:vMerge w:val="restart"/>
            <w:vAlign w:val="center"/>
          </w:tcPr>
          <w:p w14:paraId="1EB55F8B">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响应性评</w:t>
            </w:r>
            <w:r>
              <w:rPr>
                <w:rFonts w:hint="eastAsia" w:ascii="宋体" w:hAnsi="宋体" w:eastAsia="宋体" w:cs="宋体"/>
                <w:color w:val="auto"/>
                <w:sz w:val="21"/>
                <w:szCs w:val="21"/>
                <w:highlight w:val="none"/>
              </w:rPr>
              <w:t>审标准</w:t>
            </w:r>
          </w:p>
        </w:tc>
        <w:tc>
          <w:tcPr>
            <w:tcW w:w="1575" w:type="dxa"/>
            <w:gridSpan w:val="2"/>
            <w:vAlign w:val="center"/>
          </w:tcPr>
          <w:p w14:paraId="084BA3D0">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6310" w:type="dxa"/>
            <w:vAlign w:val="center"/>
          </w:tcPr>
          <w:p w14:paraId="3AE489C9">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符合第二章“投标人须知”第3.2款规定</w:t>
            </w:r>
          </w:p>
        </w:tc>
      </w:tr>
      <w:tr w14:paraId="57065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00D2497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vAlign w:val="center"/>
          </w:tcPr>
          <w:p w14:paraId="47016EA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vAlign w:val="center"/>
          </w:tcPr>
          <w:p w14:paraId="1B8B79C2">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6310" w:type="dxa"/>
            <w:vAlign w:val="center"/>
          </w:tcPr>
          <w:p w14:paraId="291BD149">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符合第二章“投标人须知”第1.3.1项规定</w:t>
            </w:r>
          </w:p>
        </w:tc>
      </w:tr>
      <w:tr w14:paraId="1CB6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62C1C51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vAlign w:val="center"/>
          </w:tcPr>
          <w:p w14:paraId="6EFF596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vAlign w:val="center"/>
          </w:tcPr>
          <w:p w14:paraId="442CA2A3">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6310" w:type="dxa"/>
            <w:vAlign w:val="center"/>
          </w:tcPr>
          <w:p w14:paraId="22F3D5FD">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符合第二章“投标人须知”第1.3.2项规定</w:t>
            </w:r>
          </w:p>
        </w:tc>
      </w:tr>
      <w:tr w14:paraId="3BD0C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5BFECD8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vAlign w:val="center"/>
          </w:tcPr>
          <w:p w14:paraId="1E57007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vAlign w:val="center"/>
          </w:tcPr>
          <w:p w14:paraId="529A53B6">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w:t>
            </w:r>
            <w:r>
              <w:rPr>
                <w:rFonts w:hint="eastAsia" w:ascii="宋体" w:hAnsi="宋体" w:cs="宋体"/>
                <w:color w:val="auto"/>
                <w:sz w:val="21"/>
                <w:szCs w:val="21"/>
                <w:highlight w:val="none"/>
                <w:lang w:val="en-US" w:eastAsia="zh-CN"/>
              </w:rPr>
              <w:t>质量</w:t>
            </w:r>
          </w:p>
        </w:tc>
        <w:tc>
          <w:tcPr>
            <w:tcW w:w="6310" w:type="dxa"/>
            <w:vAlign w:val="center"/>
          </w:tcPr>
          <w:p w14:paraId="05AC79FC">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符合第二章“投标人须知”第1.3.</w:t>
            </w:r>
            <w:r>
              <w:rPr>
                <w:rFonts w:hint="eastAsia" w:ascii="宋体" w:hAnsi="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项规定</w:t>
            </w:r>
          </w:p>
        </w:tc>
      </w:tr>
      <w:tr w14:paraId="340F1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6574E51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vAlign w:val="center"/>
          </w:tcPr>
          <w:p w14:paraId="3B44368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vAlign w:val="center"/>
          </w:tcPr>
          <w:p w14:paraId="7B288CC1">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310" w:type="dxa"/>
            <w:vAlign w:val="center"/>
          </w:tcPr>
          <w:p w14:paraId="441486E9">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符合第二章“投标人须知”第3.3项规定</w:t>
            </w:r>
          </w:p>
        </w:tc>
      </w:tr>
      <w:tr w14:paraId="75479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97" w:type="dxa"/>
            <w:vMerge w:val="continue"/>
            <w:vAlign w:val="center"/>
          </w:tcPr>
          <w:p w14:paraId="33A17C8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vAlign w:val="center"/>
          </w:tcPr>
          <w:p w14:paraId="4CE4D56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vAlign w:val="center"/>
          </w:tcPr>
          <w:p w14:paraId="3892AF65">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310" w:type="dxa"/>
            <w:tcBorders>
              <w:bottom w:val="single" w:color="auto" w:sz="4" w:space="0"/>
            </w:tcBorders>
            <w:vAlign w:val="center"/>
          </w:tcPr>
          <w:p w14:paraId="5E06E50A">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符合第二章“投标人须知”第3.4.1项规定</w:t>
            </w:r>
          </w:p>
        </w:tc>
      </w:tr>
      <w:tr w14:paraId="50C01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97" w:type="dxa"/>
            <w:vMerge w:val="continue"/>
            <w:vAlign w:val="center"/>
          </w:tcPr>
          <w:p w14:paraId="15BB673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vAlign w:val="center"/>
          </w:tcPr>
          <w:p w14:paraId="37AF5D9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vAlign w:val="center"/>
          </w:tcPr>
          <w:p w14:paraId="753580A6">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投标响应</w:t>
            </w:r>
          </w:p>
        </w:tc>
        <w:tc>
          <w:tcPr>
            <w:tcW w:w="6310" w:type="dxa"/>
            <w:tcBorders>
              <w:bottom w:val="single" w:color="auto" w:sz="4" w:space="0"/>
            </w:tcBorders>
            <w:vAlign w:val="center"/>
          </w:tcPr>
          <w:p w14:paraId="19056CE3">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pacing w:val="-2"/>
                <w:sz w:val="21"/>
                <w:szCs w:val="21"/>
                <w:highlight w:val="none"/>
              </w:rPr>
            </w:pPr>
            <w:r>
              <w:rPr>
                <w:rFonts w:ascii="宋体" w:hAnsi="宋体"/>
                <w:color w:val="auto"/>
                <w:sz w:val="21"/>
                <w:szCs w:val="21"/>
                <w:highlight w:val="none"/>
              </w:rPr>
              <w:t>投标文件对招标文件的实质性要求和条件作出响应。</w:t>
            </w:r>
          </w:p>
        </w:tc>
      </w:tr>
      <w:tr w14:paraId="1E09B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97" w:type="dxa"/>
            <w:vMerge w:val="continue"/>
            <w:vAlign w:val="center"/>
          </w:tcPr>
          <w:p w14:paraId="3CEEC6C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vAlign w:val="center"/>
          </w:tcPr>
          <w:p w14:paraId="73284E3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vAlign w:val="center"/>
          </w:tcPr>
          <w:p w14:paraId="3EECF418">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ascii="宋体" w:hAnsi="宋体"/>
                <w:color w:val="auto"/>
                <w:sz w:val="21"/>
                <w:szCs w:val="21"/>
                <w:highlight w:val="none"/>
              </w:rPr>
              <w:t>权利义务符合招标文件规定</w:t>
            </w:r>
          </w:p>
        </w:tc>
        <w:tc>
          <w:tcPr>
            <w:tcW w:w="6310" w:type="dxa"/>
            <w:tcBorders>
              <w:bottom w:val="single" w:color="auto" w:sz="4" w:space="0"/>
            </w:tcBorders>
            <w:vAlign w:val="center"/>
          </w:tcPr>
          <w:p w14:paraId="6CBB3F24">
            <w:pPr>
              <w:keepNext w:val="0"/>
              <w:keepLines w:val="0"/>
              <w:pageBreakBefore w:val="0"/>
              <w:tabs>
                <w:tab w:val="left" w:pos="3060"/>
              </w:tabs>
              <w:kinsoku/>
              <w:wordWrap/>
              <w:overflowPunct/>
              <w:topLinePunct w:val="0"/>
              <w:autoSpaceDE/>
              <w:autoSpaceDN/>
              <w:bidi w:val="0"/>
              <w:snapToGrid w:val="0"/>
              <w:spacing w:line="300" w:lineRule="exact"/>
              <w:ind w:firstLine="210" w:firstLineChars="100"/>
              <w:rPr>
                <w:rFonts w:ascii="宋体" w:hAnsi="宋体"/>
                <w:color w:val="auto"/>
                <w:sz w:val="21"/>
                <w:szCs w:val="21"/>
                <w:highlight w:val="none"/>
              </w:rPr>
            </w:pPr>
            <w:r>
              <w:rPr>
                <w:rFonts w:ascii="宋体" w:hAnsi="宋体"/>
                <w:color w:val="auto"/>
                <w:sz w:val="21"/>
                <w:szCs w:val="21"/>
                <w:highlight w:val="none"/>
              </w:rPr>
              <w:t>a.投标人应接受招标文件规定的风险划分原则，未提出新的风险划分办法；</w:t>
            </w:r>
          </w:p>
          <w:p w14:paraId="65103FE0">
            <w:pPr>
              <w:keepNext w:val="0"/>
              <w:keepLines w:val="0"/>
              <w:pageBreakBefore w:val="0"/>
              <w:tabs>
                <w:tab w:val="left" w:pos="3060"/>
              </w:tabs>
              <w:kinsoku/>
              <w:wordWrap/>
              <w:overflowPunct/>
              <w:topLinePunct w:val="0"/>
              <w:autoSpaceDE/>
              <w:autoSpaceDN/>
              <w:bidi w:val="0"/>
              <w:snapToGrid w:val="0"/>
              <w:spacing w:line="300" w:lineRule="exact"/>
              <w:ind w:firstLine="210" w:firstLineChars="100"/>
              <w:rPr>
                <w:rFonts w:ascii="宋体" w:hAnsi="宋体"/>
                <w:color w:val="auto"/>
                <w:sz w:val="21"/>
                <w:szCs w:val="21"/>
                <w:highlight w:val="none"/>
              </w:rPr>
            </w:pPr>
            <w:r>
              <w:rPr>
                <w:rFonts w:ascii="宋体" w:hAnsi="宋体"/>
                <w:color w:val="auto"/>
                <w:sz w:val="21"/>
                <w:szCs w:val="21"/>
                <w:highlight w:val="none"/>
              </w:rPr>
              <w:t>b.投标人未增加发包人的责任范围，或减少投标人义务；</w:t>
            </w:r>
          </w:p>
          <w:p w14:paraId="0F886E8A">
            <w:pPr>
              <w:keepNext w:val="0"/>
              <w:keepLines w:val="0"/>
              <w:pageBreakBefore w:val="0"/>
              <w:tabs>
                <w:tab w:val="left" w:pos="3060"/>
              </w:tabs>
              <w:kinsoku/>
              <w:wordWrap/>
              <w:overflowPunct/>
              <w:topLinePunct w:val="0"/>
              <w:autoSpaceDE/>
              <w:autoSpaceDN/>
              <w:bidi w:val="0"/>
              <w:snapToGrid w:val="0"/>
              <w:spacing w:line="300" w:lineRule="exact"/>
              <w:ind w:firstLine="210" w:firstLineChars="100"/>
              <w:rPr>
                <w:rFonts w:ascii="宋体" w:hAnsi="宋体"/>
                <w:color w:val="auto"/>
                <w:sz w:val="21"/>
                <w:szCs w:val="21"/>
                <w:highlight w:val="none"/>
              </w:rPr>
            </w:pPr>
            <w:r>
              <w:rPr>
                <w:rFonts w:ascii="宋体" w:hAnsi="宋体"/>
                <w:color w:val="auto"/>
                <w:sz w:val="21"/>
                <w:szCs w:val="21"/>
                <w:highlight w:val="none"/>
              </w:rPr>
              <w:t>c.投标人未提出不同的支付办法；</w:t>
            </w:r>
          </w:p>
          <w:p w14:paraId="563570B5">
            <w:pPr>
              <w:keepNext w:val="0"/>
              <w:keepLines w:val="0"/>
              <w:pageBreakBefore w:val="0"/>
              <w:tabs>
                <w:tab w:val="left" w:pos="3060"/>
              </w:tabs>
              <w:kinsoku/>
              <w:wordWrap/>
              <w:overflowPunct/>
              <w:topLinePunct w:val="0"/>
              <w:autoSpaceDE/>
              <w:autoSpaceDN/>
              <w:bidi w:val="0"/>
              <w:snapToGrid w:val="0"/>
              <w:spacing w:line="300" w:lineRule="exact"/>
              <w:ind w:firstLine="210" w:firstLineChars="100"/>
              <w:rPr>
                <w:rFonts w:ascii="宋体" w:hAnsi="宋体"/>
                <w:color w:val="auto"/>
                <w:sz w:val="21"/>
                <w:szCs w:val="21"/>
                <w:highlight w:val="none"/>
              </w:rPr>
            </w:pPr>
            <w:r>
              <w:rPr>
                <w:rFonts w:ascii="宋体" w:hAnsi="宋体"/>
                <w:color w:val="auto"/>
                <w:sz w:val="21"/>
                <w:szCs w:val="21"/>
                <w:highlight w:val="none"/>
              </w:rPr>
              <w:t>d.投标人对合同纠纷、事故处理办法未提出异议；</w:t>
            </w:r>
          </w:p>
          <w:p w14:paraId="51B05609">
            <w:pPr>
              <w:keepNext w:val="0"/>
              <w:keepLines w:val="0"/>
              <w:pageBreakBefore w:val="0"/>
              <w:tabs>
                <w:tab w:val="left" w:pos="3060"/>
              </w:tabs>
              <w:kinsoku/>
              <w:wordWrap/>
              <w:overflowPunct/>
              <w:topLinePunct w:val="0"/>
              <w:autoSpaceDE/>
              <w:autoSpaceDN/>
              <w:bidi w:val="0"/>
              <w:snapToGrid w:val="0"/>
              <w:spacing w:line="300" w:lineRule="exact"/>
              <w:ind w:firstLine="210" w:firstLineChars="100"/>
              <w:rPr>
                <w:rFonts w:ascii="宋体" w:hAnsi="宋体"/>
                <w:color w:val="auto"/>
                <w:sz w:val="21"/>
                <w:szCs w:val="21"/>
                <w:highlight w:val="none"/>
              </w:rPr>
            </w:pPr>
            <w:r>
              <w:rPr>
                <w:rFonts w:ascii="宋体" w:hAnsi="宋体"/>
                <w:color w:val="auto"/>
                <w:sz w:val="21"/>
                <w:szCs w:val="21"/>
                <w:highlight w:val="none"/>
              </w:rPr>
              <w:t>e.投标人在投标活动中无欺诈行为；</w:t>
            </w:r>
          </w:p>
          <w:p w14:paraId="589751D8">
            <w:pPr>
              <w:keepNext w:val="0"/>
              <w:keepLines w:val="0"/>
              <w:pageBreakBefore w:val="0"/>
              <w:tabs>
                <w:tab w:val="left" w:pos="3060"/>
              </w:tabs>
              <w:kinsoku/>
              <w:wordWrap/>
              <w:overflowPunct/>
              <w:topLinePunct w:val="0"/>
              <w:autoSpaceDE/>
              <w:autoSpaceDN/>
              <w:bidi w:val="0"/>
              <w:snapToGrid w:val="0"/>
              <w:spacing w:line="300" w:lineRule="exact"/>
              <w:ind w:firstLine="210" w:firstLineChars="100"/>
              <w:rPr>
                <w:rFonts w:hint="eastAsia" w:ascii="宋体" w:hAnsi="宋体" w:eastAsia="宋体" w:cs="宋体"/>
                <w:color w:val="auto"/>
                <w:spacing w:val="-2"/>
                <w:sz w:val="21"/>
                <w:szCs w:val="21"/>
                <w:highlight w:val="none"/>
              </w:rPr>
            </w:pPr>
            <w:r>
              <w:rPr>
                <w:rFonts w:ascii="宋体" w:hAnsi="宋体"/>
                <w:color w:val="auto"/>
                <w:sz w:val="21"/>
                <w:szCs w:val="21"/>
                <w:highlight w:val="none"/>
              </w:rPr>
              <w:t>f.投标人未对合同条款有重要保留。</w:t>
            </w:r>
          </w:p>
        </w:tc>
      </w:tr>
      <w:tr w14:paraId="41210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772" w:type="dxa"/>
            <w:gridSpan w:val="2"/>
            <w:vAlign w:val="center"/>
          </w:tcPr>
          <w:p w14:paraId="723002EB">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575" w:type="dxa"/>
            <w:gridSpan w:val="2"/>
            <w:vAlign w:val="center"/>
          </w:tcPr>
          <w:p w14:paraId="77CB4ABF">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6310" w:type="dxa"/>
            <w:vAlign w:val="center"/>
          </w:tcPr>
          <w:p w14:paraId="11B39C14">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740C3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jc w:val="center"/>
        </w:trPr>
        <w:tc>
          <w:tcPr>
            <w:tcW w:w="1772" w:type="dxa"/>
            <w:gridSpan w:val="2"/>
            <w:vAlign w:val="center"/>
          </w:tcPr>
          <w:p w14:paraId="65C9B16B">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575" w:type="dxa"/>
            <w:gridSpan w:val="2"/>
            <w:vAlign w:val="center"/>
          </w:tcPr>
          <w:p w14:paraId="6E243980">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2811DE5C">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(总分</w:t>
            </w:r>
            <w:r>
              <w:rPr>
                <w:rFonts w:hint="eastAsia" w:ascii="宋体" w:hAnsi="宋体" w:eastAsia="宋体" w:cs="宋体"/>
                <w:color w:val="auto"/>
                <w:sz w:val="21"/>
                <w:szCs w:val="21"/>
                <w:highlight w:val="none"/>
              </w:rPr>
              <w:t>100</w:t>
            </w:r>
            <w:r>
              <w:rPr>
                <w:rFonts w:hint="eastAsia" w:ascii="宋体" w:hAnsi="宋体" w:eastAsia="宋体" w:cs="宋体"/>
                <w:color w:val="auto"/>
                <w:spacing w:val="-18"/>
                <w:sz w:val="21"/>
                <w:szCs w:val="21"/>
                <w:highlight w:val="none"/>
              </w:rPr>
              <w:t>分)</w:t>
            </w:r>
          </w:p>
        </w:tc>
        <w:tc>
          <w:tcPr>
            <w:tcW w:w="6310" w:type="dxa"/>
            <w:vAlign w:val="center"/>
          </w:tcPr>
          <w:p w14:paraId="416B6A76">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pacing w:val="-27"/>
                <w:sz w:val="21"/>
                <w:szCs w:val="21"/>
                <w:highlight w:val="none"/>
              </w:rPr>
            </w:pPr>
            <w:r>
              <w:rPr>
                <w:rFonts w:hint="eastAsia" w:ascii="宋体" w:hAnsi="宋体" w:eastAsia="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方案</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pacing w:val="-27"/>
                <w:sz w:val="21"/>
                <w:szCs w:val="21"/>
                <w:highlight w:val="none"/>
              </w:rPr>
              <w:t>分</w:t>
            </w:r>
          </w:p>
          <w:p w14:paraId="2BA9B2AF">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评标价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pacing w:val="-27"/>
                <w:sz w:val="21"/>
                <w:szCs w:val="21"/>
                <w:highlight w:val="none"/>
              </w:rPr>
              <w:t>分</w:t>
            </w:r>
          </w:p>
          <w:p w14:paraId="4A89AA75">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其他评分因素：</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分</w:t>
            </w:r>
          </w:p>
        </w:tc>
      </w:tr>
      <w:tr w14:paraId="7BC9E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1772" w:type="dxa"/>
            <w:gridSpan w:val="2"/>
            <w:vAlign w:val="center"/>
          </w:tcPr>
          <w:p w14:paraId="22DC7245">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575" w:type="dxa"/>
            <w:gridSpan w:val="2"/>
            <w:vAlign w:val="center"/>
          </w:tcPr>
          <w:p w14:paraId="3CCC299B">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6310" w:type="dxa"/>
            <w:vAlign w:val="center"/>
          </w:tcPr>
          <w:p w14:paraId="54D0F2E8">
            <w:pPr>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评标基准价的计算：</w:t>
            </w:r>
          </w:p>
          <w:p w14:paraId="14510B9F">
            <w:pPr>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在开标现场，招标人将当场计算并宣布评标基准价。</w:t>
            </w:r>
          </w:p>
          <w:p w14:paraId="058D616A">
            <w:pPr>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（1）评标价的确定：</w:t>
            </w:r>
          </w:p>
          <w:p w14:paraId="712AF44F">
            <w:pPr>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评标价=投标函文字报价</w:t>
            </w:r>
          </w:p>
          <w:p w14:paraId="7DFC7B8C">
            <w:pPr>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（2）评标价平均值的计算：</w:t>
            </w:r>
          </w:p>
          <w:p w14:paraId="0ADCA3B6">
            <w:pPr>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除按第二章“投标人须知”第5.2.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7603D27C">
            <w:pPr>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（3）评标基准价的确定：</w:t>
            </w:r>
          </w:p>
          <w:p w14:paraId="1EB5FEE4">
            <w:pPr>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将评标价平均值直接作为评标基准价（评标基准价保留小数点后两位，小数点后第三位四舍五入）。</w:t>
            </w:r>
          </w:p>
          <w:p w14:paraId="611550AC">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8ECE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772" w:type="dxa"/>
            <w:gridSpan w:val="2"/>
            <w:vAlign w:val="center"/>
          </w:tcPr>
          <w:p w14:paraId="39197DEB">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1575" w:type="dxa"/>
            <w:gridSpan w:val="2"/>
            <w:vAlign w:val="center"/>
          </w:tcPr>
          <w:p w14:paraId="53212790">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投标报价的偏差率计算公式</w:t>
            </w:r>
          </w:p>
        </w:tc>
        <w:tc>
          <w:tcPr>
            <w:tcW w:w="6310" w:type="dxa"/>
            <w:vAlign w:val="center"/>
          </w:tcPr>
          <w:p w14:paraId="767747E3">
            <w:pPr>
              <w:pStyle w:val="33"/>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2B14D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772" w:type="dxa"/>
            <w:gridSpan w:val="2"/>
            <w:vAlign w:val="center"/>
          </w:tcPr>
          <w:p w14:paraId="4485402F">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575" w:type="dxa"/>
            <w:gridSpan w:val="2"/>
            <w:vAlign w:val="center"/>
          </w:tcPr>
          <w:p w14:paraId="3137F90F">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6310" w:type="dxa"/>
            <w:vAlign w:val="center"/>
          </w:tcPr>
          <w:p w14:paraId="0BCEA7E0">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793D0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797" w:type="dxa"/>
            <w:vMerge w:val="restart"/>
            <w:vAlign w:val="center"/>
          </w:tcPr>
          <w:p w14:paraId="7FDA6C58">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74C387A6">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p>
        </w:tc>
        <w:tc>
          <w:tcPr>
            <w:tcW w:w="975" w:type="dxa"/>
            <w:vMerge w:val="restart"/>
            <w:vAlign w:val="center"/>
          </w:tcPr>
          <w:p w14:paraId="3DDD66B8">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实施方案</w:t>
            </w:r>
            <w:r>
              <w:rPr>
                <w:rFonts w:hint="eastAsia" w:ascii="宋体" w:hAnsi="宋体" w:eastAsia="宋体" w:cs="宋体"/>
                <w:color w:val="auto"/>
                <w:spacing w:val="-5"/>
                <w:sz w:val="21"/>
                <w:szCs w:val="21"/>
                <w:highlight w:val="none"/>
              </w:rPr>
              <w:t>评分标准（</w:t>
            </w:r>
            <w:r>
              <w:rPr>
                <w:rFonts w:hint="eastAsia" w:ascii="宋体" w:hAnsi="宋体" w:cs="宋体"/>
                <w:color w:val="auto"/>
                <w:spacing w:val="-5"/>
                <w:sz w:val="21"/>
                <w:szCs w:val="21"/>
                <w:highlight w:val="none"/>
                <w:lang w:val="en-US" w:eastAsia="zh-CN"/>
              </w:rPr>
              <w:t>5</w:t>
            </w:r>
            <w:r>
              <w:rPr>
                <w:rFonts w:hint="eastAsia" w:ascii="宋体" w:hAnsi="宋体" w:eastAsia="宋体" w:cs="宋体"/>
                <w:color w:val="auto"/>
                <w:spacing w:val="-5"/>
                <w:sz w:val="21"/>
                <w:szCs w:val="21"/>
                <w:highlight w:val="none"/>
                <w:lang w:val="en-US" w:eastAsia="zh-CN"/>
              </w:rPr>
              <w:t>0</w:t>
            </w:r>
            <w:r>
              <w:rPr>
                <w:rFonts w:hint="eastAsia" w:ascii="宋体" w:hAnsi="宋体" w:eastAsia="宋体" w:cs="宋体"/>
                <w:color w:val="auto"/>
                <w:spacing w:val="-5"/>
                <w:sz w:val="21"/>
                <w:szCs w:val="21"/>
                <w:highlight w:val="none"/>
              </w:rPr>
              <w:t>分）</w:t>
            </w:r>
          </w:p>
        </w:tc>
        <w:tc>
          <w:tcPr>
            <w:tcW w:w="1575" w:type="dxa"/>
            <w:gridSpan w:val="2"/>
            <w:vAlign w:val="center"/>
          </w:tcPr>
          <w:p w14:paraId="7F0FE7D9">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cs="宋体"/>
                <w:i w:val="0"/>
                <w:iCs w:val="0"/>
                <w:color w:val="auto"/>
                <w:kern w:val="0"/>
                <w:sz w:val="21"/>
                <w:szCs w:val="21"/>
                <w:highlight w:val="none"/>
                <w:u w:val="none"/>
                <w:lang w:val="en-US" w:eastAsia="zh-CN" w:bidi="ar"/>
              </w:rPr>
              <w:t>总体</w:t>
            </w:r>
            <w:r>
              <w:rPr>
                <w:rFonts w:hint="eastAsia" w:ascii="宋体" w:hAnsi="宋体" w:eastAsia="宋体" w:cs="宋体"/>
                <w:i w:val="0"/>
                <w:iCs w:val="0"/>
                <w:color w:val="auto"/>
                <w:kern w:val="0"/>
                <w:sz w:val="21"/>
                <w:szCs w:val="21"/>
                <w:highlight w:val="none"/>
                <w:u w:val="none"/>
                <w:lang w:val="en-US" w:eastAsia="zh-CN" w:bidi="ar"/>
              </w:rPr>
              <w:t>服务方案</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6310" w:type="dxa"/>
            <w:vAlign w:val="center"/>
          </w:tcPr>
          <w:p w14:paraId="19BB8831">
            <w:pPr>
              <w:keepNext w:val="0"/>
              <w:keepLines w:val="0"/>
              <w:pageBreakBefore w:val="0"/>
              <w:widowControl/>
              <w:kinsoku/>
              <w:wordWrap/>
              <w:overflowPunct/>
              <w:topLinePunct w:val="0"/>
              <w:autoSpaceDE/>
              <w:autoSpaceDN/>
              <w:bidi w:val="0"/>
              <w:adjustRightInd/>
              <w:snapToGrid w:val="0"/>
              <w:spacing w:line="300" w:lineRule="exact"/>
              <w:ind w:firstLine="63" w:firstLineChars="3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snapToGrid/>
                <w:color w:val="auto"/>
                <w:spacing w:val="0"/>
                <w:kern w:val="21"/>
                <w:sz w:val="21"/>
                <w:szCs w:val="21"/>
                <w:highlight w:val="none"/>
                <w:lang w:val="en-US" w:eastAsia="zh-CN"/>
              </w:rPr>
              <w:t>1.</w:t>
            </w:r>
            <w:r>
              <w:rPr>
                <w:rFonts w:hint="eastAsia" w:ascii="宋体" w:hAnsi="宋体" w:eastAsia="宋体" w:cs="宋体"/>
                <w:bCs/>
                <w:snapToGrid/>
                <w:color w:val="auto"/>
                <w:spacing w:val="0"/>
                <w:kern w:val="21"/>
                <w:sz w:val="21"/>
                <w:szCs w:val="21"/>
                <w:highlight w:val="none"/>
              </w:rPr>
              <w:t>方案明确详尽，具体完善，科学合理，与本项目的实际情况契合度高、针对性和操作性强</w:t>
            </w:r>
            <w:r>
              <w:rPr>
                <w:rFonts w:hint="eastAsia" w:ascii="宋体" w:hAnsi="宋体" w:eastAsia="宋体" w:cs="宋体"/>
                <w:bCs/>
                <w:snapToGrid/>
                <w:color w:val="auto"/>
                <w:spacing w:val="0"/>
                <w:kern w:val="21"/>
                <w:sz w:val="21"/>
                <w:szCs w:val="21"/>
                <w:highlight w:val="none"/>
                <w:lang w:eastAsia="zh-CN"/>
              </w:rPr>
              <w:t>，</w:t>
            </w:r>
            <w:r>
              <w:rPr>
                <w:rFonts w:hint="eastAsia" w:ascii="宋体" w:hAnsi="宋体" w:eastAsia="宋体" w:cs="宋体"/>
                <w:bCs/>
                <w:snapToGrid/>
                <w:color w:val="auto"/>
                <w:spacing w:val="0"/>
                <w:kern w:val="21"/>
                <w:sz w:val="21"/>
                <w:szCs w:val="21"/>
                <w:highlight w:val="none"/>
                <w:lang w:val="en-US" w:eastAsia="zh-CN"/>
              </w:rPr>
              <w:t>得</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p>
          <w:p w14:paraId="4F66B1CC">
            <w:pPr>
              <w:keepNext w:val="0"/>
              <w:keepLines w:val="0"/>
              <w:pageBreakBefore w:val="0"/>
              <w:widowControl/>
              <w:kinsoku/>
              <w:wordWrap/>
              <w:overflowPunct/>
              <w:topLinePunct w:val="0"/>
              <w:autoSpaceDE/>
              <w:autoSpaceDN/>
              <w:bidi w:val="0"/>
              <w:adjustRightInd/>
              <w:snapToGrid w:val="0"/>
              <w:spacing w:line="300" w:lineRule="exact"/>
              <w:ind w:firstLine="63" w:firstLineChars="3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snapToGrid/>
                <w:color w:val="auto"/>
                <w:spacing w:val="0"/>
                <w:kern w:val="21"/>
                <w:sz w:val="21"/>
                <w:szCs w:val="21"/>
                <w:highlight w:val="none"/>
                <w:lang w:val="en-US" w:eastAsia="zh-CN"/>
              </w:rPr>
              <w:t>2.</w:t>
            </w:r>
            <w:r>
              <w:rPr>
                <w:rFonts w:hint="eastAsia" w:ascii="宋体" w:hAnsi="宋体" w:eastAsia="宋体" w:cs="宋体"/>
                <w:bCs/>
                <w:snapToGrid/>
                <w:color w:val="auto"/>
                <w:spacing w:val="0"/>
                <w:kern w:val="21"/>
                <w:sz w:val="21"/>
                <w:szCs w:val="21"/>
                <w:highlight w:val="none"/>
              </w:rPr>
              <w:t>方案较明确、较具体，合理可行，与本项目的实际情况契合度较高，可操作</w:t>
            </w:r>
            <w:r>
              <w:rPr>
                <w:rFonts w:hint="eastAsia" w:ascii="宋体" w:hAnsi="宋体" w:eastAsia="宋体" w:cs="宋体"/>
                <w:bCs/>
                <w:snapToGrid/>
                <w:color w:val="auto"/>
                <w:spacing w:val="0"/>
                <w:kern w:val="21"/>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分；</w:t>
            </w:r>
          </w:p>
          <w:p w14:paraId="196BB2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snapToGrid/>
                <w:color w:val="auto"/>
                <w:spacing w:val="0"/>
                <w:kern w:val="21"/>
                <w:sz w:val="21"/>
                <w:szCs w:val="21"/>
                <w:highlight w:val="none"/>
                <w:lang w:val="en-US" w:eastAsia="zh-CN"/>
              </w:rPr>
              <w:t>3.</w:t>
            </w:r>
            <w:r>
              <w:rPr>
                <w:rFonts w:hint="eastAsia" w:ascii="宋体" w:hAnsi="宋体" w:eastAsia="宋体" w:cs="宋体"/>
                <w:bCs/>
                <w:snapToGrid/>
                <w:color w:val="auto"/>
                <w:spacing w:val="0"/>
                <w:kern w:val="21"/>
                <w:sz w:val="21"/>
                <w:szCs w:val="21"/>
                <w:highlight w:val="none"/>
              </w:rPr>
              <w:t>基本满足招标文件及项目要求</w:t>
            </w:r>
            <w:r>
              <w:rPr>
                <w:rFonts w:hint="eastAsia" w:ascii="宋体" w:hAnsi="宋体" w:eastAsia="宋体" w:cs="宋体"/>
                <w:bCs/>
                <w:snapToGrid/>
                <w:color w:val="auto"/>
                <w:spacing w:val="0"/>
                <w:kern w:val="21"/>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p>
        </w:tc>
      </w:tr>
      <w:tr w14:paraId="07B59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jc w:val="center"/>
        </w:trPr>
        <w:tc>
          <w:tcPr>
            <w:tcW w:w="797" w:type="dxa"/>
            <w:vMerge w:val="continue"/>
            <w:vAlign w:val="center"/>
          </w:tcPr>
          <w:p w14:paraId="71AD98A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vAlign w:val="center"/>
          </w:tcPr>
          <w:p w14:paraId="6C72DE3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vAlign w:val="center"/>
          </w:tcPr>
          <w:p w14:paraId="644C8AC9">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object>
                <v:shape id="_x0000_i1025" o:spt="75" type="#_x0000_t75" style="height:633.6pt;width:451.2pt;" o:ole="t" filled="f" o:preferrelative="t" stroked="f" coordsize="21600,21600">
                  <v:path/>
                  <v:fill on="f" focussize="0,0"/>
                  <v:stroke on="f"/>
                  <v:imagedata r:id="rId5" o:title=""/>
                  <o:lock v:ext="edit" aspectratio="t"/>
                  <w10:wrap type="none"/>
                  <w10:anchorlock/>
                </v:shape>
                <o:OLEObject Type="Embed" ProgID="Word.Document.12" ShapeID="_x0000_i1025" DrawAspect="Content" ObjectID="_1468075725" r:id="rId4">
                  <o:LockedField>false</o:LockedField>
                </o:OLEObject>
              </w:object>
            </w:r>
            <w:r>
              <w:rPr>
                <w:rFonts w:hint="eastAsia" w:ascii="宋体" w:hAnsi="宋体" w:cs="宋体"/>
                <w:bCs/>
                <w:color w:val="auto"/>
                <w:sz w:val="21"/>
                <w:szCs w:val="21"/>
                <w:highlight w:val="none"/>
              </w:rPr>
              <w:t>日常管理标准及措施</w:t>
            </w:r>
          </w:p>
          <w:p w14:paraId="077DC07B">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310" w:type="dxa"/>
            <w:vAlign w:val="bottom"/>
          </w:tcPr>
          <w:p w14:paraId="7EC28B7B">
            <w:pPr>
              <w:pStyle w:val="33"/>
              <w:keepNext w:val="0"/>
              <w:keepLines w:val="0"/>
              <w:pageBreakBefore w:val="0"/>
              <w:widowControl/>
              <w:kinsoku/>
              <w:wordWrap/>
              <w:overflowPunct/>
              <w:topLinePunct w:val="0"/>
              <w:autoSpaceDE/>
              <w:autoSpaceDN/>
              <w:bidi w:val="0"/>
              <w:adjustRightInd/>
              <w:snapToGrid w:val="0"/>
              <w:ind w:firstLine="63" w:firstLine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1、管理标准及措施</w:t>
            </w:r>
            <w:r>
              <w:rPr>
                <w:rFonts w:hint="eastAsia" w:ascii="宋体" w:hAnsi="宋体" w:eastAsia="宋体" w:cs="宋体"/>
                <w:bCs/>
                <w:snapToGrid/>
                <w:color w:val="auto"/>
                <w:spacing w:val="0"/>
                <w:kern w:val="21"/>
                <w:sz w:val="21"/>
                <w:szCs w:val="21"/>
                <w:highlight w:val="none"/>
              </w:rPr>
              <w:t>明确详尽，具体完善，科学合理，与本项目的实际情况契合度高、针对性和操作性强</w:t>
            </w:r>
            <w:r>
              <w:rPr>
                <w:rFonts w:hint="eastAsia" w:ascii="宋体" w:hAnsi="宋体" w:eastAsia="宋体" w:cs="宋体"/>
                <w:color w:val="auto"/>
                <w:kern w:val="0"/>
                <w:sz w:val="21"/>
                <w:szCs w:val="21"/>
                <w:highlight w:val="none"/>
                <w:lang w:bidi="ar"/>
              </w:rPr>
              <w:t>，得</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w:t>
            </w:r>
          </w:p>
          <w:p w14:paraId="6C771ACF">
            <w:pPr>
              <w:pStyle w:val="33"/>
              <w:keepNext w:val="0"/>
              <w:keepLines w:val="0"/>
              <w:pageBreakBefore w:val="0"/>
              <w:widowControl/>
              <w:kinsoku/>
              <w:wordWrap/>
              <w:overflowPunct/>
              <w:topLinePunct w:val="0"/>
              <w:autoSpaceDE/>
              <w:autoSpaceDN/>
              <w:bidi w:val="0"/>
              <w:adjustRightInd/>
              <w:snapToGrid w:val="0"/>
              <w:ind w:firstLine="63" w:firstLine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2、管理标准及措施</w:t>
            </w:r>
            <w:r>
              <w:rPr>
                <w:rFonts w:hint="eastAsia" w:ascii="宋体" w:hAnsi="宋体" w:eastAsia="宋体" w:cs="宋体"/>
                <w:bCs/>
                <w:snapToGrid/>
                <w:color w:val="auto"/>
                <w:spacing w:val="0"/>
                <w:kern w:val="21"/>
                <w:sz w:val="21"/>
                <w:szCs w:val="21"/>
                <w:highlight w:val="none"/>
              </w:rPr>
              <w:t>较明确、较具体，合理可行，与本项目的实际情况契合度较高，可操作</w:t>
            </w:r>
            <w:r>
              <w:rPr>
                <w:rFonts w:hint="eastAsia" w:ascii="宋体" w:hAnsi="宋体" w:eastAsia="宋体" w:cs="宋体"/>
                <w:color w:val="auto"/>
                <w:kern w:val="0"/>
                <w:sz w:val="21"/>
                <w:szCs w:val="21"/>
                <w:highlight w:val="none"/>
                <w:lang w:bidi="ar"/>
              </w:rPr>
              <w:t>，得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分；</w:t>
            </w:r>
          </w:p>
          <w:p w14:paraId="6BBE4234">
            <w:pPr>
              <w:pStyle w:val="33"/>
              <w:keepNext w:val="0"/>
              <w:keepLines w:val="0"/>
              <w:pageBreakBefore w:val="0"/>
              <w:widowControl/>
              <w:kinsoku/>
              <w:wordWrap/>
              <w:overflowPunct/>
              <w:topLinePunct w:val="0"/>
              <w:autoSpaceDE/>
              <w:autoSpaceDN/>
              <w:bidi w:val="0"/>
              <w:adjustRightInd/>
              <w:snapToGrid w:val="0"/>
              <w:spacing w:line="300" w:lineRule="exact"/>
              <w:ind w:firstLine="63" w:firstLineChars="30"/>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kern w:val="0"/>
                <w:sz w:val="21"/>
                <w:szCs w:val="21"/>
                <w:highlight w:val="none"/>
                <w:lang w:bidi="ar"/>
              </w:rPr>
              <w:t>3、管理标准及措施</w:t>
            </w:r>
            <w:r>
              <w:rPr>
                <w:rFonts w:hint="eastAsia" w:ascii="宋体" w:hAnsi="宋体" w:eastAsia="宋体" w:cs="宋体"/>
                <w:bCs/>
                <w:snapToGrid/>
                <w:color w:val="auto"/>
                <w:spacing w:val="0"/>
                <w:kern w:val="21"/>
                <w:sz w:val="21"/>
                <w:szCs w:val="21"/>
                <w:highlight w:val="none"/>
              </w:rPr>
              <w:t>基本满足招标文件及项目要求</w:t>
            </w:r>
            <w:r>
              <w:rPr>
                <w:rFonts w:hint="eastAsia" w:ascii="宋体" w:hAnsi="宋体" w:eastAsia="宋体" w:cs="宋体"/>
                <w:color w:val="auto"/>
                <w:kern w:val="0"/>
                <w:sz w:val="21"/>
                <w:szCs w:val="21"/>
                <w:highlight w:val="none"/>
                <w:lang w:bidi="ar"/>
              </w:rPr>
              <w:t>，得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w:t>
            </w:r>
          </w:p>
        </w:tc>
      </w:tr>
      <w:tr w14:paraId="4DFFA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797" w:type="dxa"/>
            <w:vMerge w:val="continue"/>
            <w:vAlign w:val="center"/>
          </w:tcPr>
          <w:p w14:paraId="5920454A">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vAlign w:val="center"/>
          </w:tcPr>
          <w:p w14:paraId="143F0EB6">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vAlign w:val="center"/>
          </w:tcPr>
          <w:p w14:paraId="01281B26">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Cs/>
                <w:color w:val="auto"/>
                <w:sz w:val="21"/>
                <w:szCs w:val="21"/>
                <w:highlight w:val="none"/>
              </w:rPr>
              <w:t>内部规章制度及人员考核培训方案</w:t>
            </w:r>
            <w:r>
              <w:rPr>
                <w:rFonts w:hint="eastAsia" w:ascii="宋体" w:hAnsi="宋体" w:eastAsia="宋体" w:cs="宋体"/>
                <w:bCs/>
                <w:snapToGrid/>
                <w:color w:val="auto"/>
                <w:spacing w:val="0"/>
                <w:kern w:val="21"/>
                <w:sz w:val="21"/>
                <w:szCs w:val="21"/>
                <w:highlight w:val="none"/>
              </w:rPr>
              <w:t>（10分）</w:t>
            </w:r>
          </w:p>
        </w:tc>
        <w:tc>
          <w:tcPr>
            <w:tcW w:w="6310" w:type="dxa"/>
            <w:vAlign w:val="bottom"/>
          </w:tcPr>
          <w:p w14:paraId="3B18F710">
            <w:pPr>
              <w:keepNext w:val="0"/>
              <w:keepLines w:val="0"/>
              <w:pageBreakBefore w:val="0"/>
              <w:widowControl/>
              <w:kinsoku/>
              <w:wordWrap/>
              <w:overflowPunct/>
              <w:topLinePunct w:val="0"/>
              <w:autoSpaceDE/>
              <w:autoSpaceDN/>
              <w:bidi w:val="0"/>
              <w:adjustRightInd/>
              <w:snapToGrid w:val="0"/>
              <w:spacing w:line="300" w:lineRule="exact"/>
              <w:ind w:firstLine="63" w:firstLine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r>
              <w:rPr>
                <w:rFonts w:hint="eastAsia" w:ascii="宋体" w:hAnsi="宋体" w:eastAsia="宋体" w:cs="宋体"/>
                <w:bCs/>
                <w:snapToGrid/>
                <w:color w:val="auto"/>
                <w:spacing w:val="0"/>
                <w:kern w:val="21"/>
                <w:sz w:val="21"/>
                <w:szCs w:val="21"/>
                <w:highlight w:val="none"/>
              </w:rPr>
              <w:t>方案明确详尽，具体完善，科学合理，与本项目的实际情况契合度高、针对性和操作性强</w:t>
            </w:r>
            <w:r>
              <w:rPr>
                <w:rFonts w:hint="eastAsia" w:ascii="宋体" w:hAnsi="宋体" w:eastAsia="宋体" w:cs="宋体"/>
                <w:color w:val="auto"/>
                <w:kern w:val="0"/>
                <w:sz w:val="21"/>
                <w:szCs w:val="21"/>
                <w:highlight w:val="none"/>
                <w:lang w:bidi="ar"/>
              </w:rPr>
              <w:t>，得</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w:t>
            </w:r>
          </w:p>
          <w:p w14:paraId="4DF068B2">
            <w:pPr>
              <w:keepNext w:val="0"/>
              <w:keepLines w:val="0"/>
              <w:pageBreakBefore w:val="0"/>
              <w:widowControl/>
              <w:kinsoku/>
              <w:wordWrap/>
              <w:overflowPunct/>
              <w:topLinePunct w:val="0"/>
              <w:autoSpaceDE/>
              <w:autoSpaceDN/>
              <w:bidi w:val="0"/>
              <w:adjustRightInd/>
              <w:snapToGrid w:val="0"/>
              <w:spacing w:line="300" w:lineRule="exact"/>
              <w:ind w:firstLine="63" w:firstLine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r>
              <w:rPr>
                <w:rFonts w:hint="eastAsia" w:ascii="宋体" w:hAnsi="宋体" w:eastAsia="宋体" w:cs="宋体"/>
                <w:bCs/>
                <w:snapToGrid/>
                <w:color w:val="auto"/>
                <w:spacing w:val="0"/>
                <w:kern w:val="21"/>
                <w:sz w:val="21"/>
                <w:szCs w:val="21"/>
                <w:highlight w:val="none"/>
              </w:rPr>
              <w:t>方案较明确、较具体，合理可行，与本项目的实际情况契合度较高，可操作</w:t>
            </w:r>
            <w:r>
              <w:rPr>
                <w:rFonts w:hint="eastAsia" w:ascii="宋体" w:hAnsi="宋体" w:eastAsia="宋体" w:cs="宋体"/>
                <w:color w:val="auto"/>
                <w:kern w:val="0"/>
                <w:sz w:val="21"/>
                <w:szCs w:val="21"/>
                <w:highlight w:val="none"/>
                <w:lang w:bidi="ar"/>
              </w:rPr>
              <w:t>，得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分；</w:t>
            </w:r>
          </w:p>
          <w:p w14:paraId="45ED893B">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3、</w:t>
            </w:r>
            <w:r>
              <w:rPr>
                <w:rFonts w:hint="eastAsia" w:ascii="宋体" w:hAnsi="宋体" w:eastAsia="宋体" w:cs="宋体"/>
                <w:bCs/>
                <w:snapToGrid/>
                <w:color w:val="auto"/>
                <w:spacing w:val="0"/>
                <w:kern w:val="21"/>
                <w:sz w:val="21"/>
                <w:szCs w:val="21"/>
                <w:highlight w:val="none"/>
              </w:rPr>
              <w:t>基本满足招标文件及项目要求</w:t>
            </w:r>
            <w:r>
              <w:rPr>
                <w:rFonts w:hint="eastAsia" w:ascii="宋体" w:hAnsi="宋体" w:eastAsia="宋体" w:cs="宋体"/>
                <w:color w:val="auto"/>
                <w:kern w:val="0"/>
                <w:sz w:val="21"/>
                <w:szCs w:val="21"/>
                <w:highlight w:val="none"/>
                <w:lang w:bidi="ar"/>
              </w:rPr>
              <w:t>，得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w:t>
            </w:r>
          </w:p>
        </w:tc>
      </w:tr>
      <w:tr w14:paraId="68E4F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797" w:type="dxa"/>
            <w:vMerge w:val="continue"/>
            <w:vAlign w:val="center"/>
          </w:tcPr>
          <w:p w14:paraId="115C6B83">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975" w:type="dxa"/>
            <w:vMerge w:val="continue"/>
            <w:vAlign w:val="center"/>
          </w:tcPr>
          <w:p w14:paraId="378044F8">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p>
        </w:tc>
        <w:tc>
          <w:tcPr>
            <w:tcW w:w="1575" w:type="dxa"/>
            <w:gridSpan w:val="2"/>
            <w:vAlign w:val="center"/>
          </w:tcPr>
          <w:p w14:paraId="354FA16A">
            <w:pPr>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服务质量保证措施、应急处理措施及保密措施</w:t>
            </w:r>
          </w:p>
          <w:p w14:paraId="6E5554E8">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310" w:type="dxa"/>
            <w:vAlign w:val="bottom"/>
          </w:tcPr>
          <w:p w14:paraId="0AC65E70">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Cs/>
                <w:snapToGrid/>
                <w:color w:val="auto"/>
                <w:spacing w:val="0"/>
                <w:kern w:val="21"/>
                <w:sz w:val="21"/>
                <w:szCs w:val="21"/>
                <w:highlight w:val="none"/>
              </w:rPr>
              <w:t>措施得力，与本项目的实际情况契合度高、可行性强且有承诺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得8-10分；</w:t>
            </w:r>
          </w:p>
          <w:p w14:paraId="7E58F140">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Cs/>
                <w:snapToGrid/>
                <w:color w:val="auto"/>
                <w:spacing w:val="0"/>
                <w:kern w:val="21"/>
                <w:sz w:val="21"/>
                <w:szCs w:val="21"/>
                <w:highlight w:val="none"/>
              </w:rPr>
              <w:t>与本项目的实际情况契合度较高，合理可行</w:t>
            </w:r>
            <w:r>
              <w:rPr>
                <w:rFonts w:hint="eastAsia" w:ascii="宋体" w:hAnsi="宋体" w:eastAsia="宋体" w:cs="宋体"/>
                <w:bCs/>
                <w:snapToGrid/>
                <w:color w:val="auto"/>
                <w:spacing w:val="0"/>
                <w:kern w:val="21"/>
                <w:sz w:val="21"/>
                <w:szCs w:val="21"/>
                <w:highlight w:val="none"/>
                <w:lang w:eastAsia="zh-CN"/>
              </w:rPr>
              <w:t>，</w:t>
            </w:r>
            <w:r>
              <w:rPr>
                <w:rFonts w:hint="eastAsia" w:ascii="宋体" w:hAnsi="宋体" w:eastAsia="宋体" w:cs="宋体"/>
                <w:color w:val="auto"/>
                <w:sz w:val="21"/>
                <w:szCs w:val="21"/>
                <w:highlight w:val="none"/>
                <w:lang w:val="en-US" w:eastAsia="zh-CN"/>
              </w:rPr>
              <w:t>得6-8分；</w:t>
            </w:r>
          </w:p>
          <w:p w14:paraId="7489CED7">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color w:val="auto"/>
                <w:spacing w:val="-7"/>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Cs/>
                <w:snapToGrid/>
                <w:color w:val="auto"/>
                <w:spacing w:val="0"/>
                <w:kern w:val="21"/>
                <w:sz w:val="21"/>
                <w:szCs w:val="21"/>
                <w:highlight w:val="none"/>
              </w:rPr>
              <w:t>基本满足招标文件及项目要求</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得6分。</w:t>
            </w:r>
          </w:p>
        </w:tc>
      </w:tr>
      <w:tr w14:paraId="487DE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797" w:type="dxa"/>
            <w:vAlign w:val="center"/>
          </w:tcPr>
          <w:p w14:paraId="69767659">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2.2.4（2）</w:t>
            </w:r>
          </w:p>
        </w:tc>
        <w:tc>
          <w:tcPr>
            <w:tcW w:w="975" w:type="dxa"/>
            <w:vAlign w:val="center"/>
          </w:tcPr>
          <w:p w14:paraId="13EAF617">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575" w:type="dxa"/>
            <w:gridSpan w:val="2"/>
            <w:vAlign w:val="center"/>
          </w:tcPr>
          <w:p w14:paraId="0C2C4D2D">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310" w:type="dxa"/>
            <w:vAlign w:val="center"/>
          </w:tcPr>
          <w:p w14:paraId="5481B07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30C63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jc w:val="center"/>
        </w:trPr>
        <w:tc>
          <w:tcPr>
            <w:tcW w:w="797" w:type="dxa"/>
            <w:vAlign w:val="center"/>
          </w:tcPr>
          <w:p w14:paraId="148AED9E">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76D2744A">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975" w:type="dxa"/>
            <w:vAlign w:val="center"/>
          </w:tcPr>
          <w:p w14:paraId="6E926A14">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评标价</w:t>
            </w:r>
            <w:r>
              <w:rPr>
                <w:rFonts w:hint="eastAsia" w:ascii="宋体" w:hAnsi="宋体" w:eastAsia="宋体" w:cs="宋体"/>
                <w:color w:val="auto"/>
                <w:spacing w:val="-2"/>
                <w:sz w:val="21"/>
                <w:szCs w:val="21"/>
                <w:highlight w:val="none"/>
              </w:rPr>
              <w:t>评分标准</w:t>
            </w:r>
          </w:p>
          <w:p w14:paraId="58C4E92A">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30</w:t>
            </w:r>
            <w:r>
              <w:rPr>
                <w:rFonts w:hint="eastAsia" w:ascii="宋体" w:hAnsi="宋体" w:eastAsia="宋体" w:cs="宋体"/>
                <w:color w:val="auto"/>
                <w:spacing w:val="-2"/>
                <w:sz w:val="21"/>
                <w:szCs w:val="21"/>
                <w:highlight w:val="none"/>
              </w:rPr>
              <w:t>分）</w:t>
            </w:r>
          </w:p>
        </w:tc>
        <w:tc>
          <w:tcPr>
            <w:tcW w:w="7885" w:type="dxa"/>
            <w:gridSpan w:val="3"/>
            <w:vAlign w:val="center"/>
          </w:tcPr>
          <w:p w14:paraId="61D9D7C1">
            <w:pPr>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评标价得分计算公式示例：</w:t>
            </w:r>
          </w:p>
          <w:p w14:paraId="188CBEEB">
            <w:pPr>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（1）如果投标人的评标价＞评标基准价，则评标价得分=F-（投标人评标价-评标基准价）/评标基准价×100×E1；</w:t>
            </w:r>
          </w:p>
          <w:p w14:paraId="3CAED0BD">
            <w:pPr>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（2）如果投标人的评标价≤评标基准价，则评标价得分=F+(投标人评标价-评标基准价)/评标基准价×100×E2。</w:t>
            </w:r>
          </w:p>
          <w:p w14:paraId="3E6DBE3D">
            <w:pPr>
              <w:pStyle w:val="33"/>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其中，F=30；E1=0.4；E2=0.2；评标价最低得分为0分,结果保留2位小数。</w:t>
            </w:r>
          </w:p>
        </w:tc>
      </w:tr>
      <w:tr w14:paraId="44E3A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97" w:type="dxa"/>
            <w:vAlign w:val="center"/>
          </w:tcPr>
          <w:p w14:paraId="39A1AD78">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059E0122">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p>
        </w:tc>
        <w:tc>
          <w:tcPr>
            <w:tcW w:w="975" w:type="dxa"/>
            <w:vAlign w:val="center"/>
          </w:tcPr>
          <w:p w14:paraId="13D10D6F">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其他因素评分标准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p>
        </w:tc>
        <w:tc>
          <w:tcPr>
            <w:tcW w:w="1090" w:type="dxa"/>
            <w:tcBorders>
              <w:right w:val="single" w:color="auto" w:sz="4" w:space="0"/>
            </w:tcBorders>
            <w:vAlign w:val="center"/>
          </w:tcPr>
          <w:p w14:paraId="4CAFCB13">
            <w:pPr>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企业业绩</w:t>
            </w:r>
          </w:p>
          <w:p w14:paraId="7DCBF4C1">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Cs/>
                <w:snapToGrid/>
                <w:color w:val="auto"/>
                <w:spacing w:val="0"/>
                <w:kern w:val="21"/>
                <w:sz w:val="21"/>
                <w:szCs w:val="21"/>
                <w:highlight w:val="none"/>
              </w:rPr>
              <w:t>（</w:t>
            </w:r>
            <w:r>
              <w:rPr>
                <w:rFonts w:hint="eastAsia" w:ascii="宋体" w:hAnsi="宋体" w:eastAsia="宋体" w:cs="宋体"/>
                <w:bCs/>
                <w:snapToGrid/>
                <w:color w:val="auto"/>
                <w:spacing w:val="0"/>
                <w:kern w:val="21"/>
                <w:sz w:val="21"/>
                <w:szCs w:val="21"/>
                <w:highlight w:val="none"/>
                <w:lang w:val="en-US" w:eastAsia="zh-CN"/>
              </w:rPr>
              <w:t>20</w:t>
            </w:r>
            <w:r>
              <w:rPr>
                <w:rFonts w:hint="eastAsia" w:ascii="宋体" w:hAnsi="宋体" w:eastAsia="宋体" w:cs="宋体"/>
                <w:bCs/>
                <w:snapToGrid/>
                <w:color w:val="auto"/>
                <w:spacing w:val="0"/>
                <w:kern w:val="21"/>
                <w:sz w:val="21"/>
                <w:szCs w:val="21"/>
                <w:highlight w:val="none"/>
              </w:rPr>
              <w:t>分）</w:t>
            </w:r>
          </w:p>
        </w:tc>
        <w:tc>
          <w:tcPr>
            <w:tcW w:w="6795" w:type="dxa"/>
            <w:gridSpan w:val="2"/>
            <w:tcBorders>
              <w:left w:val="single" w:color="auto" w:sz="4" w:space="0"/>
              <w:bottom w:val="single" w:color="auto" w:sz="4" w:space="0"/>
            </w:tcBorders>
            <w:vAlign w:val="center"/>
          </w:tcPr>
          <w:p w14:paraId="1699902B">
            <w:pPr>
              <w:keepNext w:val="0"/>
              <w:keepLines w:val="0"/>
              <w:pageBreakBefore w:val="0"/>
              <w:widowControl/>
              <w:suppressLineNumbers w:val="0"/>
              <w:kinsoku/>
              <w:wordWrap/>
              <w:overflowPunct/>
              <w:topLinePunct w:val="0"/>
              <w:autoSpaceDE/>
              <w:autoSpaceDN/>
              <w:bidi w:val="0"/>
              <w:snapToGrid w:val="0"/>
              <w:spacing w:line="30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snapToGrid/>
                <w:color w:val="auto"/>
                <w:spacing w:val="0"/>
                <w:kern w:val="21"/>
                <w:sz w:val="21"/>
                <w:szCs w:val="21"/>
                <w:highlight w:val="none"/>
              </w:rPr>
              <w:t>满足附录2资格审查条件（业绩最低要求）的，得</w:t>
            </w:r>
            <w:r>
              <w:rPr>
                <w:rFonts w:hint="eastAsia" w:ascii="宋体" w:hAnsi="宋体" w:eastAsia="宋体" w:cs="宋体"/>
                <w:snapToGrid/>
                <w:color w:val="auto"/>
                <w:spacing w:val="0"/>
                <w:kern w:val="21"/>
                <w:sz w:val="21"/>
                <w:szCs w:val="21"/>
                <w:highlight w:val="none"/>
                <w:lang w:val="en-US" w:eastAsia="zh-CN"/>
              </w:rPr>
              <w:t>12</w:t>
            </w:r>
            <w:r>
              <w:rPr>
                <w:rFonts w:hint="eastAsia" w:ascii="宋体" w:hAnsi="宋体" w:eastAsia="宋体" w:cs="宋体"/>
                <w:snapToGrid/>
                <w:color w:val="auto"/>
                <w:spacing w:val="0"/>
                <w:kern w:val="21"/>
                <w:sz w:val="21"/>
                <w:szCs w:val="21"/>
                <w:highlight w:val="none"/>
              </w:rPr>
              <w:t>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snapToGrid/>
                <w:color w:val="auto"/>
                <w:spacing w:val="0"/>
                <w:kern w:val="21"/>
                <w:sz w:val="21"/>
                <w:szCs w:val="21"/>
                <w:highlight w:val="none"/>
              </w:rPr>
              <w:t>每增加1项满足附录2资格审查条件（业绩最低要求）的业绩加</w:t>
            </w:r>
            <w:r>
              <w:rPr>
                <w:rFonts w:hint="eastAsia" w:ascii="宋体" w:hAnsi="宋体" w:eastAsia="宋体" w:cs="宋体"/>
                <w:snapToGrid/>
                <w:color w:val="auto"/>
                <w:spacing w:val="0"/>
                <w:kern w:val="21"/>
                <w:sz w:val="21"/>
                <w:szCs w:val="21"/>
                <w:highlight w:val="none"/>
                <w:lang w:val="en-US" w:eastAsia="zh-CN"/>
              </w:rPr>
              <w:t>4</w:t>
            </w:r>
            <w:r>
              <w:rPr>
                <w:rFonts w:hint="eastAsia" w:ascii="宋体" w:hAnsi="宋体" w:eastAsia="宋体" w:cs="宋体"/>
                <w:snapToGrid/>
                <w:color w:val="auto"/>
                <w:spacing w:val="0"/>
                <w:kern w:val="21"/>
                <w:sz w:val="21"/>
                <w:szCs w:val="21"/>
                <w:highlight w:val="none"/>
              </w:rPr>
              <w:t>分，最多加</w:t>
            </w:r>
            <w:r>
              <w:rPr>
                <w:rFonts w:hint="eastAsia" w:ascii="宋体" w:hAnsi="宋体" w:eastAsia="宋体" w:cs="宋体"/>
                <w:snapToGrid/>
                <w:color w:val="auto"/>
                <w:spacing w:val="0"/>
                <w:kern w:val="21"/>
                <w:sz w:val="21"/>
                <w:szCs w:val="21"/>
                <w:highlight w:val="none"/>
                <w:lang w:val="en-US" w:eastAsia="zh-CN"/>
              </w:rPr>
              <w:t>8</w:t>
            </w:r>
            <w:r>
              <w:rPr>
                <w:rFonts w:hint="eastAsia" w:ascii="宋体" w:hAnsi="宋体" w:eastAsia="宋体" w:cs="宋体"/>
                <w:snapToGrid/>
                <w:color w:val="auto"/>
                <w:spacing w:val="0"/>
                <w:kern w:val="21"/>
                <w:sz w:val="21"/>
                <w:szCs w:val="21"/>
                <w:highlight w:val="none"/>
              </w:rPr>
              <w:t>分。</w:t>
            </w:r>
          </w:p>
        </w:tc>
      </w:tr>
      <w:tr w14:paraId="490BF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797" w:type="dxa"/>
            <w:vAlign w:val="center"/>
          </w:tcPr>
          <w:p w14:paraId="69BB8C3A">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3.3.1</w:t>
            </w:r>
          </w:p>
        </w:tc>
        <w:tc>
          <w:tcPr>
            <w:tcW w:w="975" w:type="dxa"/>
            <w:vAlign w:val="center"/>
          </w:tcPr>
          <w:p w14:paraId="1C179C11">
            <w:pPr>
              <w:pStyle w:val="33"/>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投标文件相关信息核查</w:t>
            </w:r>
          </w:p>
        </w:tc>
        <w:tc>
          <w:tcPr>
            <w:tcW w:w="7885" w:type="dxa"/>
            <w:gridSpan w:val="3"/>
            <w:vAlign w:val="center"/>
          </w:tcPr>
          <w:p w14:paraId="4A0E122F">
            <w:pPr>
              <w:keepNext w:val="0"/>
              <w:keepLines w:val="0"/>
              <w:pageBreakBefore w:val="0"/>
              <w:kinsoku/>
              <w:wordWrap/>
              <w:overflowPunct/>
              <w:topLinePunct w:val="0"/>
              <w:autoSpaceDE/>
              <w:autoSpaceDN/>
              <w:bidi w:val="0"/>
              <w:adjustRightInd w:val="0"/>
              <w:snapToGrid w:val="0"/>
              <w:spacing w:line="300" w:lineRule="exact"/>
              <w:rPr>
                <w:rFonts w:hint="eastAsia" w:ascii="宋体" w:hAnsi="宋体"/>
                <w:color w:val="auto"/>
                <w:sz w:val="21"/>
                <w:szCs w:val="21"/>
                <w:highlight w:val="none"/>
              </w:rPr>
            </w:pPr>
            <w:r>
              <w:rPr>
                <w:rFonts w:hint="eastAsia" w:ascii="宋体" w:hAnsi="宋体"/>
                <w:color w:val="auto"/>
                <w:sz w:val="21"/>
                <w:szCs w:val="21"/>
                <w:highlight w:val="none"/>
              </w:rPr>
              <w:t>本款修改为：</w:t>
            </w:r>
          </w:p>
          <w:p w14:paraId="402FE2D2">
            <w:pPr>
              <w:keepNext w:val="0"/>
              <w:keepLines w:val="0"/>
              <w:pageBreakBefore w:val="0"/>
              <w:kinsoku/>
              <w:wordWrap/>
              <w:overflowPunct/>
              <w:topLinePunct w:val="0"/>
              <w:autoSpaceDE/>
              <w:autoSpaceDN/>
              <w:bidi w:val="0"/>
              <w:adjustRightInd w:val="0"/>
              <w:snapToGrid w:val="0"/>
              <w:spacing w:line="300" w:lineRule="exact"/>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（1）投标人信用情况网页截图内容与在“国家企业信用信息公示系统”中严重违法失信名单（黑名单）信息（不含分公司）或在“信用中国”网站中失信被执行人、</w:t>
            </w:r>
            <w:r>
              <w:rPr>
                <w:rFonts w:hint="eastAsia" w:ascii="宋体" w:hAnsi="宋体"/>
                <w:color w:val="auto"/>
                <w:sz w:val="21"/>
                <w:szCs w:val="21"/>
                <w:highlight w:val="none"/>
                <w:lang w:eastAsia="zh-CN"/>
              </w:rPr>
              <w:t>经营（活动）异常名录</w:t>
            </w:r>
            <w:r>
              <w:rPr>
                <w:rFonts w:hint="eastAsia" w:ascii="宋体" w:hAnsi="宋体"/>
                <w:color w:val="auto"/>
                <w:sz w:val="21"/>
                <w:szCs w:val="21"/>
                <w:highlight w:val="none"/>
              </w:rPr>
              <w:t>、重大税收违法失信主体、政府采购严重违法失信行为记录名单（均不含分公司）的复核结果一致。如投标人未提供相关网页截图或所附截图与复核结果不一致，评标委员会应否决其投标。</w:t>
            </w:r>
          </w:p>
          <w:p w14:paraId="076F601C">
            <w:pPr>
              <w:keepNext w:val="0"/>
              <w:keepLines w:val="0"/>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lang w:eastAsia="zh-CN"/>
              </w:rPr>
            </w:pPr>
            <w:r>
              <w:rPr>
                <w:rFonts w:hint="eastAsia" w:ascii="宋体" w:hAnsi="宋体"/>
                <w:color w:val="auto"/>
                <w:sz w:val="21"/>
                <w:szCs w:val="21"/>
                <w:highlight w:val="none"/>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r>
              <w:rPr>
                <w:rFonts w:hint="eastAsia" w:ascii="宋体" w:hAnsi="宋体"/>
                <w:color w:val="auto"/>
                <w:sz w:val="21"/>
                <w:szCs w:val="21"/>
                <w:highlight w:val="none"/>
                <w:lang w:eastAsia="zh-CN"/>
              </w:rPr>
              <w:t>。</w:t>
            </w:r>
          </w:p>
        </w:tc>
      </w:tr>
      <w:tr w14:paraId="34C8D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9657" w:type="dxa"/>
            <w:gridSpan w:val="5"/>
            <w:vAlign w:val="center"/>
          </w:tcPr>
          <w:p w14:paraId="3EEFFA61">
            <w:pPr>
              <w:keepNext w:val="0"/>
              <w:keepLines w:val="0"/>
              <w:pageBreakBefore w:val="0"/>
              <w:kinsoku/>
              <w:wordWrap/>
              <w:overflowPunct/>
              <w:topLinePunct w:val="0"/>
              <w:autoSpaceDE/>
              <w:autoSpaceDN/>
              <w:bidi w:val="0"/>
              <w:snapToGrid w:val="0"/>
              <w:spacing w:line="300" w:lineRule="exact"/>
              <w:ind w:firstLine="210" w:firstLineChars="100"/>
              <w:rPr>
                <w:color w:val="auto"/>
                <w:kern w:val="0"/>
                <w:sz w:val="21"/>
                <w:szCs w:val="21"/>
                <w:highlight w:val="none"/>
                <w:lang w:val="zh-CN"/>
              </w:rPr>
            </w:pPr>
            <w:r>
              <w:rPr>
                <w:color w:val="auto"/>
                <w:kern w:val="0"/>
                <w:sz w:val="21"/>
                <w:szCs w:val="21"/>
                <w:highlight w:val="none"/>
                <w:lang w:val="zh-CN"/>
              </w:rPr>
              <w:t>注：1、</w:t>
            </w:r>
            <w:r>
              <w:rPr>
                <w:rFonts w:hint="eastAsia" w:ascii="宋体" w:hAnsi="宋体" w:cs="宋体"/>
                <w:i w:val="0"/>
                <w:iCs w:val="0"/>
                <w:color w:val="auto"/>
                <w:kern w:val="0"/>
                <w:sz w:val="21"/>
                <w:szCs w:val="21"/>
                <w:highlight w:val="none"/>
                <w:u w:val="none"/>
                <w:lang w:val="en-US" w:eastAsia="zh-CN" w:bidi="ar"/>
              </w:rPr>
              <w:t>服务</w:t>
            </w:r>
            <w:r>
              <w:rPr>
                <w:rFonts w:hint="eastAsia" w:ascii="宋体" w:hAnsi="宋体" w:eastAsia="宋体" w:cs="宋体"/>
                <w:i w:val="0"/>
                <w:iCs w:val="0"/>
                <w:color w:val="auto"/>
                <w:kern w:val="0"/>
                <w:sz w:val="21"/>
                <w:szCs w:val="21"/>
                <w:highlight w:val="none"/>
                <w:u w:val="none"/>
                <w:lang w:val="en-US" w:eastAsia="zh-CN" w:bidi="ar"/>
              </w:rPr>
              <w:t>方案部分</w:t>
            </w:r>
            <w:r>
              <w:rPr>
                <w:color w:val="auto"/>
                <w:kern w:val="0"/>
                <w:sz w:val="21"/>
                <w:szCs w:val="21"/>
                <w:highlight w:val="none"/>
                <w:lang w:val="zh-CN"/>
              </w:rPr>
              <w:t>各评委打分保留1位小数，投标人该项得分以各评委打分平均值计算所得，保留两位小数，第三位小数四舍五入。</w:t>
            </w:r>
          </w:p>
          <w:p w14:paraId="5B616D32">
            <w:pPr>
              <w:pStyle w:val="33"/>
              <w:keepNext w:val="0"/>
              <w:keepLines w:val="0"/>
              <w:pageBreakBefore w:val="0"/>
              <w:numPr>
                <w:ilvl w:val="0"/>
                <w:numId w:val="0"/>
              </w:numPr>
              <w:kinsoku/>
              <w:wordWrap/>
              <w:overflowPunct/>
              <w:topLinePunct w:val="0"/>
              <w:autoSpaceDE/>
              <w:autoSpaceDN/>
              <w:bidi w:val="0"/>
              <w:adjustRightInd/>
              <w:snapToGrid w:val="0"/>
              <w:spacing w:line="300" w:lineRule="exact"/>
              <w:ind w:leftChars="0" w:firstLine="630" w:firstLineChars="300"/>
              <w:textAlignment w:val="auto"/>
              <w:rPr>
                <w:rFonts w:hint="eastAsia" w:ascii="宋体" w:hAnsi="宋体" w:eastAsia="宋体" w:cs="宋体"/>
                <w:color w:val="auto"/>
                <w:sz w:val="21"/>
                <w:szCs w:val="21"/>
                <w:highlight w:val="none"/>
              </w:rPr>
            </w:pPr>
            <w:r>
              <w:rPr>
                <w:color w:val="auto"/>
                <w:kern w:val="0"/>
                <w:sz w:val="21"/>
                <w:szCs w:val="21"/>
                <w:highlight w:val="none"/>
                <w:lang w:val="zh-CN"/>
              </w:rPr>
              <w:t>2、</w:t>
            </w:r>
            <w:r>
              <w:rPr>
                <w:rFonts w:hint="eastAsia" w:ascii="宋体" w:hAnsi="宋体" w:eastAsia="宋体" w:cs="宋体"/>
                <w:i w:val="0"/>
                <w:iCs w:val="0"/>
                <w:color w:val="auto"/>
                <w:kern w:val="0"/>
                <w:sz w:val="21"/>
                <w:szCs w:val="21"/>
                <w:highlight w:val="none"/>
                <w:u w:val="none"/>
                <w:lang w:val="en-US" w:eastAsia="zh-CN" w:bidi="ar"/>
              </w:rPr>
              <w:t>实施方案部分</w:t>
            </w:r>
            <w:r>
              <w:rPr>
                <w:color w:val="auto"/>
                <w:kern w:val="0"/>
                <w:sz w:val="21"/>
                <w:szCs w:val="21"/>
                <w:highlight w:val="none"/>
                <w:lang w:val="zh-CN"/>
              </w:rPr>
              <w:t>评</w:t>
            </w:r>
            <w:r>
              <w:rPr>
                <w:rFonts w:hint="eastAsia"/>
                <w:color w:val="auto"/>
                <w:kern w:val="0"/>
                <w:sz w:val="21"/>
                <w:szCs w:val="21"/>
                <w:highlight w:val="none"/>
                <w:lang w:val="en-US" w:eastAsia="zh-CN"/>
              </w:rPr>
              <w:t>分</w:t>
            </w:r>
            <w:r>
              <w:rPr>
                <w:color w:val="auto"/>
                <w:kern w:val="0"/>
                <w:sz w:val="21"/>
                <w:szCs w:val="21"/>
                <w:highlight w:val="none"/>
                <w:lang w:val="zh-CN"/>
              </w:rPr>
              <w:t>因素缺项则该项得0分。</w:t>
            </w:r>
          </w:p>
        </w:tc>
      </w:tr>
    </w:tbl>
    <w:p w14:paraId="1CA305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65BF3"/>
    <w:rsid w:val="0DED6FC6"/>
    <w:rsid w:val="12C31056"/>
    <w:rsid w:val="295E2F75"/>
    <w:rsid w:val="4A033528"/>
    <w:rsid w:val="6A765BF3"/>
    <w:rsid w:val="7E3F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99"/>
    <w:pPr>
      <w:keepNext/>
      <w:keepLines/>
      <w:spacing w:line="360" w:lineRule="auto"/>
      <w:outlineLvl w:val="0"/>
    </w:pPr>
    <w:rPr>
      <w:b/>
      <w:kern w:val="44"/>
      <w:sz w:val="44"/>
      <w:szCs w:val="20"/>
    </w:rPr>
  </w:style>
  <w:style w:type="paragraph" w:styleId="3">
    <w:name w:val="heading 2"/>
    <w:basedOn w:val="1"/>
    <w:next w:val="1"/>
    <w:qFormat/>
    <w:uiPriority w:val="99"/>
    <w:pPr>
      <w:keepNext/>
      <w:keepLines/>
      <w:spacing w:before="260" w:after="260" w:line="416" w:lineRule="auto"/>
      <w:outlineLvl w:val="1"/>
    </w:pPr>
    <w:rPr>
      <w:rFonts w:ascii="Arial" w:hAnsi="Arial" w:eastAsia="黑体"/>
      <w:b/>
      <w:sz w:val="32"/>
      <w:szCs w:val="20"/>
    </w:rPr>
  </w:style>
  <w:style w:type="paragraph" w:styleId="4">
    <w:name w:val="heading 3"/>
    <w:basedOn w:val="1"/>
    <w:next w:val="1"/>
    <w:qFormat/>
    <w:uiPriority w:val="99"/>
    <w:pPr>
      <w:keepNext/>
      <w:keepLines/>
      <w:spacing w:line="360" w:lineRule="auto"/>
      <w:outlineLvl w:val="2"/>
    </w:pPr>
    <w:rPr>
      <w:b/>
      <w:sz w:val="32"/>
      <w:szCs w:val="20"/>
    </w:rPr>
  </w:style>
  <w:style w:type="character" w:default="1" w:styleId="15">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5">
    <w:name w:val="Body Text 3"/>
    <w:basedOn w:val="1"/>
    <w:next w:val="6"/>
    <w:qFormat/>
    <w:uiPriority w:val="99"/>
    <w:pPr>
      <w:spacing w:after="120"/>
    </w:pPr>
    <w:rPr>
      <w:sz w:val="18"/>
      <w:szCs w:val="20"/>
    </w:rPr>
  </w:style>
  <w:style w:type="paragraph" w:styleId="6">
    <w:name w:val="List 2"/>
    <w:basedOn w:val="1"/>
    <w:next w:val="7"/>
    <w:qFormat/>
    <w:uiPriority w:val="0"/>
    <w:pPr>
      <w:ind w:left="100" w:leftChars="200" w:hanging="200" w:hangingChars="200"/>
    </w:pPr>
    <w:rPr>
      <w:rFonts w:ascii="Times New Roman" w:hAnsi="Times New Roman" w:eastAsia="宋体" w:cs="Times New Roman"/>
      <w:szCs w:val="24"/>
    </w:rPr>
  </w:style>
  <w:style w:type="paragraph" w:styleId="7">
    <w:name w:val="Date"/>
    <w:basedOn w:val="1"/>
    <w:next w:val="1"/>
    <w:qFormat/>
    <w:uiPriority w:val="0"/>
    <w:pPr>
      <w:ind w:left="100" w:leftChars="2500"/>
    </w:pPr>
    <w:rPr>
      <w:kern w:val="0"/>
      <w:sz w:val="20"/>
    </w:rPr>
  </w:style>
  <w:style w:type="paragraph" w:styleId="8">
    <w:name w:val="Body Text"/>
    <w:basedOn w:val="1"/>
    <w:qFormat/>
    <w:uiPriority w:val="99"/>
    <w:pPr>
      <w:spacing w:after="120"/>
    </w:pPr>
    <w:rPr>
      <w:kern w:val="0"/>
      <w:sz w:val="20"/>
    </w:rPr>
  </w:style>
  <w:style w:type="paragraph" w:styleId="9">
    <w:name w:val="Body Text Indent"/>
    <w:basedOn w:val="1"/>
    <w:next w:val="10"/>
    <w:qFormat/>
    <w:uiPriority w:val="99"/>
    <w:pPr>
      <w:spacing w:after="120"/>
      <w:ind w:left="420" w:leftChars="200"/>
    </w:pPr>
    <w:rPr>
      <w:kern w:val="0"/>
      <w:sz w:val="20"/>
    </w:rPr>
  </w:style>
  <w:style w:type="paragraph" w:styleId="10">
    <w:name w:val="Body Text Indent 2"/>
    <w:basedOn w:val="1"/>
    <w:qFormat/>
    <w:uiPriority w:val="99"/>
    <w:pPr>
      <w:spacing w:after="120" w:line="480" w:lineRule="auto"/>
      <w:ind w:left="420" w:leftChars="200"/>
    </w:pPr>
    <w:rPr>
      <w:kern w:val="0"/>
      <w:sz w:val="20"/>
    </w:rPr>
  </w:style>
  <w:style w:type="paragraph" w:styleId="11">
    <w:name w:val="List Continue"/>
    <w:basedOn w:val="1"/>
    <w:next w:val="12"/>
    <w:qFormat/>
    <w:uiPriority w:val="0"/>
    <w:pPr>
      <w:spacing w:after="120"/>
      <w:ind w:left="420" w:firstLine="3584"/>
    </w:pPr>
  </w:style>
  <w:style w:type="paragraph" w:styleId="12">
    <w:name w:val="Body Text First Indent"/>
    <w:basedOn w:val="8"/>
    <w:next w:val="5"/>
    <w:qFormat/>
    <w:uiPriority w:val="99"/>
    <w:pPr>
      <w:autoSpaceDE w:val="0"/>
      <w:autoSpaceDN w:val="0"/>
      <w:adjustRightInd w:val="0"/>
      <w:ind w:firstLine="420"/>
      <w:jc w:val="left"/>
      <w:textAlignment w:val="baseline"/>
    </w:pPr>
  </w:style>
  <w:style w:type="paragraph" w:styleId="13">
    <w:name w:val="Body Text First Indent 2"/>
    <w:basedOn w:val="9"/>
    <w:next w:val="11"/>
    <w:qFormat/>
    <w:uiPriority w:val="0"/>
    <w:pPr>
      <w:widowControl w:val="0"/>
      <w:ind w:firstLine="420" w:firstLineChars="200"/>
      <w:jc w:val="both"/>
    </w:pPr>
    <w:rPr>
      <w:rFonts w:cs="Times New Roman"/>
      <w:kern w:val="2"/>
      <w:sz w:val="21"/>
      <w:szCs w:val="24"/>
    </w:rPr>
  </w:style>
  <w:style w:type="paragraph" w:customStyle="1" w:styleId="16">
    <w:name w:val="样式22"/>
    <w:basedOn w:val="17"/>
    <w:qFormat/>
    <w:uiPriority w:val="0"/>
    <w:pPr>
      <w:ind w:left="0" w:firstLine="200" w:firstLineChars="200"/>
    </w:pPr>
  </w:style>
  <w:style w:type="paragraph" w:customStyle="1" w:styleId="17">
    <w:name w:val="样式21"/>
    <w:basedOn w:val="4"/>
    <w:qFormat/>
    <w:uiPriority w:val="0"/>
    <w:pPr>
      <w:spacing w:before="0" w:after="0" w:line="360" w:lineRule="auto"/>
      <w:ind w:left="200" w:hanging="200" w:hangingChars="200"/>
    </w:pPr>
    <w:rPr>
      <w:sz w:val="24"/>
    </w:rPr>
  </w:style>
  <w:style w:type="paragraph" w:customStyle="1" w:styleId="18">
    <w:name w:val="样式23"/>
    <w:basedOn w:val="19"/>
    <w:qFormat/>
    <w:uiPriority w:val="0"/>
    <w:rPr>
      <w:sz w:val="24"/>
    </w:rPr>
  </w:style>
  <w:style w:type="paragraph" w:customStyle="1" w:styleId="19">
    <w:name w:val="样式17"/>
    <w:basedOn w:val="20"/>
    <w:qFormat/>
    <w:uiPriority w:val="0"/>
    <w:pPr>
      <w:ind w:firstLine="200" w:firstLineChars="200"/>
    </w:pPr>
  </w:style>
  <w:style w:type="paragraph" w:customStyle="1" w:styleId="20">
    <w:name w:val="样式16"/>
    <w:basedOn w:val="4"/>
    <w:qFormat/>
    <w:uiPriority w:val="0"/>
    <w:pPr>
      <w:spacing w:before="0" w:after="0" w:line="360" w:lineRule="auto"/>
    </w:pPr>
    <w:rPr>
      <w:sz w:val="28"/>
    </w:rPr>
  </w:style>
  <w:style w:type="paragraph" w:customStyle="1" w:styleId="21">
    <w:name w:val="样式 首行缩进:  1 厘米 行距: 固定值 25 磅"/>
    <w:basedOn w:val="1"/>
    <w:autoRedefine/>
    <w:qFormat/>
    <w:uiPriority w:val="99"/>
    <w:pPr>
      <w:widowControl/>
      <w:spacing w:line="340" w:lineRule="exact"/>
      <w:jc w:val="center"/>
    </w:pPr>
    <w:rPr>
      <w:rFonts w:ascii="宋体"/>
      <w:bCs/>
      <w:color w:val="000000"/>
      <w:kern w:val="0"/>
      <w:szCs w:val="21"/>
    </w:rPr>
  </w:style>
  <w:style w:type="paragraph" w:customStyle="1" w:styleId="22">
    <w:name w:val="样式26"/>
    <w:basedOn w:val="23"/>
    <w:qFormat/>
    <w:uiPriority w:val="0"/>
    <w:pPr>
      <w:ind w:firstLine="562"/>
    </w:pPr>
    <w:rPr>
      <w:sz w:val="24"/>
    </w:rPr>
  </w:style>
  <w:style w:type="paragraph" w:customStyle="1" w:styleId="23">
    <w:name w:val="样式24"/>
    <w:basedOn w:val="4"/>
    <w:qFormat/>
    <w:uiPriority w:val="0"/>
    <w:pPr>
      <w:spacing w:before="0" w:after="0" w:line="360" w:lineRule="auto"/>
      <w:ind w:firstLine="200" w:firstLineChars="200"/>
    </w:pPr>
    <w:rPr>
      <w:sz w:val="28"/>
    </w:rPr>
  </w:style>
  <w:style w:type="paragraph" w:customStyle="1" w:styleId="24">
    <w:name w:val="样式25"/>
    <w:basedOn w:val="25"/>
    <w:qFormat/>
    <w:uiPriority w:val="0"/>
    <w:rPr>
      <w:sz w:val="24"/>
    </w:rPr>
  </w:style>
  <w:style w:type="paragraph" w:customStyle="1" w:styleId="25">
    <w:name w:val="样式20"/>
    <w:basedOn w:val="4"/>
    <w:qFormat/>
    <w:uiPriority w:val="0"/>
    <w:pPr>
      <w:spacing w:before="0" w:after="0" w:line="360" w:lineRule="auto"/>
      <w:ind w:firstLine="200" w:firstLineChars="200"/>
    </w:pPr>
  </w:style>
  <w:style w:type="paragraph" w:customStyle="1" w:styleId="26">
    <w:name w:val="样式27"/>
    <w:basedOn w:val="4"/>
    <w:qFormat/>
    <w:uiPriority w:val="0"/>
    <w:pPr>
      <w:spacing w:before="0" w:after="0" w:line="360" w:lineRule="auto"/>
      <w:ind w:firstLine="200" w:firstLineChars="200"/>
    </w:pPr>
    <w:rPr>
      <w:sz w:val="24"/>
    </w:rPr>
  </w:style>
  <w:style w:type="paragraph" w:customStyle="1" w:styleId="27">
    <w:name w:val="样式124"/>
    <w:basedOn w:val="4"/>
    <w:autoRedefine/>
    <w:qFormat/>
    <w:uiPriority w:val="0"/>
    <w:pPr>
      <w:ind w:firstLine="200" w:firstLineChars="200"/>
    </w:pPr>
    <w:rPr>
      <w:bCs/>
      <w:kern w:val="28"/>
      <w:sz w:val="24"/>
      <w:szCs w:val="32"/>
    </w:rPr>
  </w:style>
  <w:style w:type="paragraph" w:customStyle="1" w:styleId="28">
    <w:name w:val="样式30"/>
    <w:basedOn w:val="4"/>
    <w:autoRedefine/>
    <w:qFormat/>
    <w:uiPriority w:val="0"/>
    <w:pPr>
      <w:topLinePunct w:val="0"/>
      <w:spacing w:before="0" w:after="0" w:line="360" w:lineRule="auto"/>
      <w:ind w:firstLine="200" w:firstLineChars="200"/>
    </w:pPr>
    <w:rPr>
      <w:bCs/>
      <w:kern w:val="28"/>
      <w:sz w:val="24"/>
      <w:szCs w:val="32"/>
    </w:rPr>
  </w:style>
  <w:style w:type="paragraph" w:customStyle="1" w:styleId="29">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目录4 Char"/>
    <w:autoRedefine/>
    <w:qFormat/>
    <w:uiPriority w:val="99"/>
    <w:rPr>
      <w:rFonts w:ascii="黑体" w:eastAsia="黑体"/>
      <w:kern w:val="2"/>
      <w:sz w:val="24"/>
      <w:lang w:val="en-US" w:eastAsia="zh-CN"/>
    </w:rPr>
  </w:style>
  <w:style w:type="character" w:customStyle="1" w:styleId="31">
    <w:name w:val="目录4 Char Char"/>
    <w:link w:val="32"/>
    <w:autoRedefine/>
    <w:qFormat/>
    <w:locked/>
    <w:uiPriority w:val="99"/>
    <w:rPr>
      <w:rFonts w:ascii="黑体" w:eastAsia="黑体"/>
      <w:sz w:val="24"/>
      <w:szCs w:val="20"/>
    </w:rPr>
  </w:style>
  <w:style w:type="paragraph" w:customStyle="1" w:styleId="32">
    <w:name w:val="目录4"/>
    <w:basedOn w:val="1"/>
    <w:link w:val="31"/>
    <w:autoRedefine/>
    <w:qFormat/>
    <w:uiPriority w:val="99"/>
    <w:pPr>
      <w:spacing w:beforeLines="50" w:afterLines="50" w:line="400" w:lineRule="exact"/>
    </w:pPr>
    <w:rPr>
      <w:rFonts w:ascii="黑体" w:eastAsia="黑体"/>
      <w:sz w:val="24"/>
      <w:szCs w:val="20"/>
    </w:rPr>
  </w:style>
  <w:style w:type="paragraph" w:customStyle="1" w:styleId="33">
    <w:name w:val="Table Paragraph"/>
    <w:basedOn w:val="1"/>
    <w:qFormat/>
    <w:uiPriority w:val="99"/>
  </w:style>
  <w:style w:type="table" w:customStyle="1" w:styleId="3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4389</Words>
  <Characters>4861</Characters>
  <Lines>0</Lines>
  <Paragraphs>0</Paragraphs>
  <TotalTime>1</TotalTime>
  <ScaleCrop>false</ScaleCrop>
  <LinksUpToDate>false</LinksUpToDate>
  <CharactersWithSpaces>4861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2025-11-13T09:28:00Z</dcterms:created>
  <dc:creator>清</dc:creator>
  <cp:lastModifiedBy>DELL</cp:lastModifiedBy>
  <dcterms:modified xsi:type="dcterms:W3CDTF">2025-11-13T09:32:18Z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A0292BDA1BF54A8794FFE87A0EC17E37_13</vt:lpwstr>
  </property>
  <property fmtid="{D5CDD505-2E9C-101B-9397-08002B2CF9AE}" pid="4" name="KSOTemplateDocerSaveRecord">
    <vt:lpwstr>eyJoZGlkIjoiMmQyMWM1NmU5MjJkNGVkM2E0Zjg1ODlhZWVlNzM4Y2UiLCJ1c2VySWQiOiIxMTIxMDk3ODA5In0=</vt:lpwstr>
  </property>
</Properties>
</file>